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560A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353B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2871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3AF8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C72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3937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38B5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3611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1710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28FD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乌后政发〔2026〕8号</w:t>
      </w:r>
    </w:p>
    <w:p w14:paraId="70C9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BE8A68D">
      <w:pPr>
        <w:pStyle w:val="3"/>
        <w:rPr>
          <w:rFonts w:hint="eastAsia"/>
          <w:lang w:val="en-US" w:eastAsia="zh-CN"/>
        </w:rPr>
      </w:pPr>
    </w:p>
    <w:p w14:paraId="668C4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乌拉特后旗人民政府</w:t>
      </w:r>
    </w:p>
    <w:p w14:paraId="7695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关于印发《乌拉特后旗美丽乡村建设实施方案》的通知</w:t>
      </w:r>
    </w:p>
    <w:p w14:paraId="32CA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E25F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各苏木镇人民政府，工业园区管委会，旗直各部门：</w:t>
      </w:r>
    </w:p>
    <w:p w14:paraId="5FDD2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经旗人民政府研究同意，现将《乌拉特后旗美丽乡村建设实施方案》印发给你们，请结合实际认真遵照执行。</w:t>
      </w:r>
    </w:p>
    <w:p w14:paraId="6ACB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2F7B5538">
      <w:pPr>
        <w:pStyle w:val="3"/>
        <w:rPr>
          <w:rFonts w:hint="eastAsia"/>
          <w:lang w:eastAsia="zh-CN"/>
        </w:rPr>
      </w:pPr>
    </w:p>
    <w:p w14:paraId="7685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乌拉特后旗人民政府</w:t>
      </w:r>
    </w:p>
    <w:p w14:paraId="4751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年3月24日</w:t>
      </w:r>
    </w:p>
    <w:p w14:paraId="2A92F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5" w:h="16840"/>
          <w:pgMar w:top="2154" w:right="1474" w:bottom="1701" w:left="1587" w:header="720" w:footer="720" w:gutter="0"/>
          <w:pgNumType w:fmt="decimal"/>
          <w:cols w:space="720" w:num="1"/>
        </w:sectPr>
      </w:pPr>
    </w:p>
    <w:p w14:paraId="78BC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乌拉特后旗美丽乡村建设实施方案</w:t>
      </w:r>
    </w:p>
    <w:p w14:paraId="461E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2C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二十大和二十届二中、三中、四中全会精神，全面落实习近平生态文明思想，以铸牢中华民族共同体意识为工作主线，严格遵循《关于全面推进美丽中国建设的意见》《美丽乡村建设实施方案》《巴彦淖尔市加强农业农村生态环境保护推进美丽乡村建设实施方案》及自治区、巴彦淖尔市相关工作部署，立足乌拉特后旗边疆区位、农牧交错布局、生态脆弱的实际情况，特制定本方案。</w:t>
      </w:r>
    </w:p>
    <w:p w14:paraId="2368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55CA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以习近平新时代中国特色社会主义思想为根本遵循，深入学习贯彻习近平总书记重要讲话重要指示精神，全面落实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党的二十大和二十届历次全会精神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紧扣铸牢中华民族共同体意识工作主线，深度借鉴“千万工程”先进理念与实践经验，坚定不移走生态优先、绿色发展之路，统筹推进乡村生态振兴与农村人居环境综合整治。立足乌拉特后旗地域特质，推动乡村建设走差异化、特质化、全域化发展路径，构建村美人和的新时代美丽乡村发展格局，为筑牢我国北方重要生态安全屏障注入乌拉特后旗力量。</w:t>
      </w:r>
    </w:p>
    <w:p w14:paraId="7EE28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 w14:paraId="0BC8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（一）生态优先，绿色发展。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严守生态保护红线，统筹推进异地生态治理与农村人居环境整治提升，推动农牧业高质量发展与生态环境保护协同并进，实现生态效益、经济效益、社会效益有机统一的可持续发展模式。</w:t>
      </w:r>
    </w:p>
    <w:p w14:paraId="34F3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（二）因地制宜，精准施策。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紧密结合各苏木镇、嘎查村的资源禀赋、产业基础与发展水平，差异化推进农业示范园区提质、牧区产业转型升级、文旅深度融合发展，坚决杜绝“一刀切”和同质化建设现象。</w:t>
      </w:r>
    </w:p>
    <w:p w14:paraId="52F8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（三）产业为基，增收为要。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以现代农牧业和特色文旅产业为核心支撑，深化农企利益联结机制，拓宽农牧民多元化增收渠道，夯实乡村振兴的经济基础，让农牧民在美丽乡村建设中持续分享发展成果。</w:t>
      </w:r>
    </w:p>
    <w:p w14:paraId="115DC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（四）政府引导，群众主体。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强化政府在规划引领、政策支持、统筹协调中的主导作用，充分调动农牧民群众参与建设的积极性、主动性和创造性，构建共建共治共享的美丽乡村建设格局。</w:t>
      </w:r>
    </w:p>
    <w:p w14:paraId="730E6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（五）长效管护，常态运行。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建立健全基础设施、人居环境、产业发展等重点领域长效管护机制，明确管护主体、细化管护责任、保障管护经费，确保建设成果持续发挥实效。</w:t>
      </w:r>
    </w:p>
    <w:p w14:paraId="15E4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三、主要目标</w:t>
      </w:r>
    </w:p>
    <w:p w14:paraId="7299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到2026年底，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完成全旗50个行政村美丽乡村建设任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</w:rPr>
        <w:t>；农村牧区生活污水治理（管控）率达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到100%；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常态化开展黑臭水体排查整治，确保无黑臭水体；农村牧区人居饮水安全保障水平全面提升，饮用水源地规范化建设成果持续巩固；完成水土流失治理面积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20平方公里，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生产建设项目水土保持方案审批率达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到100%；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全旗50个行政村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107个自然村落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垃圾收运处置体系实现全域覆盖，无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害化处理能力显著增强；畜禽粪污综合利用率稳定在9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控制养殖污染属实的重复信访举报发生率；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分层分类推进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地膜回收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，违规生产、销售、使用农膜现象基本杜绝；提升秸秆综合利用水平，依法依规落实禁烧管控要求，严防因秸秆集中焚烧引发重污染天气；农药包装废弃物回收率达到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80%以上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嘎查村集中居住区域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整洁有序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全面落实第四轮草原生态保护补助奖励政策，完成禁牧区与草畜平衡区优化调整，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推进草原荒漠化治理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“三北”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等生态恢复工程，巩固防沙治沙成果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，乡村生态保护修复一体化发展格局基本形成。</w:t>
      </w:r>
    </w:p>
    <w:p w14:paraId="7D49A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四、重点任务</w:t>
      </w:r>
    </w:p>
    <w:p w14:paraId="5363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（一）梯次推进美丽乡村创建，彰显边疆地域特色</w:t>
      </w:r>
    </w:p>
    <w:p w14:paraId="6765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度借鉴“千万工程”经验做法，坚持因地制宜、党建引领、群众参与的工作原则，构建全民动员、全域整治、全面提升的工作格局。聚焦农牧民急难愁盼需求，整合各类资金资源升级改造村庄公共基础设施，实现水、电、路、网等基础保障全域覆盖；规划建设公益性休闲娱乐设施并交由村集体运营管理，保障村民直接受益。依托“三北”防护林建设与高标准农田改造项目，完善防护林生态体系并强化抚育管理；在呼和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乌兰哈哨、</w:t>
      </w:r>
      <w:r>
        <w:rPr>
          <w:rFonts w:hint="eastAsia" w:ascii="仿宋_GB2312" w:hAnsi="仿宋_GB2312" w:eastAsia="仿宋_GB2312" w:cs="仿宋_GB2312"/>
          <w:sz w:val="32"/>
          <w:szCs w:val="32"/>
        </w:rPr>
        <w:t>那仁乌布尔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、呼和温都尔嘎查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发展特色林果种植与庭院经济，延伸产业链条、提升产业附加值。采取试点先行、以点带面的推进模式，每个苏木镇打造1—2个示范嘎查村，系统总结可复制、可推广的建设经验，逐步在全旗范围内全面铺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（责任单位：旗农牧和科技局、住建局、乡村振兴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、林草局；以下任务均需各苏木镇配合，不再逐一列出）</w:t>
      </w:r>
    </w:p>
    <w:p w14:paraId="571F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（二）提升城乡生活垃圾处置水平，构建闭环管理体系</w:t>
      </w:r>
    </w:p>
    <w:p w14:paraId="3B24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优化升级农村牧区生活垃圾收运处置体系，结合各苏木镇、嘎查村地理区位与人口分布特点，灵活采用“户投放、村收集、镇转运、旗处理”或“户投放、村收集、镇处理”的差异化模式。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投入力度，配齐配强垃圾转运设施与专用车辆，科学优化收运路线与频次，确保垃圾日产日清、及时处置。健全完善运营管理、资金保障、日常清理“三位一体”工作机制，明确各级管护责任主体，强化全流程管护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推行镇办企业或国企参与农村牧区生活垃圾清运模式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（巴音镇宝洁环保合作社、呼和镇东升庙公共服务管理公司、潮格镇赛恒塔拉牧业服务公司）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，确保辖区垃圾清运率达到90%以上。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依托巴彦淖尔川能环保能源有限公司，实现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全旗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垃圾焚烧无害化处理。完善资金分级保障机制，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“财政补贴+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村集体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管控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+农户适</w:t>
      </w:r>
      <w:r>
        <w:rPr>
          <w:rFonts w:hint="eastAsia" w:ascii="仿宋_GB2312" w:hAnsi="仿宋_GB2312" w:eastAsia="仿宋_GB2312" w:cs="仿宋_GB2312"/>
          <w:sz w:val="32"/>
          <w:szCs w:val="32"/>
        </w:rPr>
        <w:t>度出资”的共管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模式，经“四议两公开”民主程序统筹用于人居环境整治工作。充分发挥党员干部先锋模范作用与志愿者带头作用，带动农户开展常态化清扫保洁，实现垃圾收集无死角、全覆盖。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（责任单位：旗住建局、农牧和科技局、生态环境分局）</w:t>
      </w:r>
    </w:p>
    <w:p w14:paraId="7DC0C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（三）推进建制镇生活污水处理设施建设，健全常态监管机制</w:t>
      </w:r>
    </w:p>
    <w:p w14:paraId="13EE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农村牧区生活污水治理攻坚力度，根据不同区域实际情况，科学选用资源化利用、城镇管网接入、集中式处理等适配性治理模式，确保污水得到有效管控。持续强化饮用水源地规范化建设，常态化开展隐患排查整治，巩固提升饮水安全保障成果。遵循“群众自愿、经济适用、因地制宜”原则，合理确定户厕改造技术模式，推进符合条件的村庄应改尽改。推动农村户厕改造与生活污水治理有机衔接，探索“一站式规划、一体化建设、长效化管护”的融合发展模式，健全污水处理设施长效管护机制，保障设施稳定达标运行，2026年底前实现农村牧区生活污水治理（管控）率100%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（责任单位：旗生态环境分局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住建局、农牧和科技局、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乡村振兴服务中心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 w14:paraId="0EA7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（四）开展黑臭水体综合治理，实现动态清零目标</w:t>
      </w:r>
    </w:p>
    <w:p w14:paraId="6E977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全市黑臭水体动态清零三年攻坚行动要求，以农村房前屋后河塘沟渠、公共区域积水等为重点治理对象，建立健全常态化排查、分类施治、长效管护的工作机制，按照“发现一处、建档一处、整治一处、销号一处”和“一水一策”的治理原则，综合采取控源截污、内源清理、生态修复等措施推进整改销号。持续深化村庄清洁行动，重点清理整治村内沟渠、水塘淤积物与漂浮垃圾，推动水体治理与村庄整体环境提升协同推进。强化社会监督力度，畅通群众投诉举报与意见反馈渠道，构建全民参与的黑臭水体治理监督体系，确保黑臭水体动态清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（责任单位：旗生态环境分局、水利局、住建局、农牧和科技局）</w:t>
      </w:r>
    </w:p>
    <w:p w14:paraId="47F0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（五）抓好水土流失防治治理，提升生态保护质量</w:t>
      </w:r>
    </w:p>
    <w:p w14:paraId="7404E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坚持系统治理、一体推进理念，统筹协调生产、生活、生态三大空间，通过示范项目引领、小微水体管护、用水全程监管、节水增效推广等多元举措，确保水土保持率达到上级规定要求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河湖长制，构建“旗级总河长统筹协调、镇级河长牵头主抓、村级河长落地落实”的三级河湖治理责任体系，推动各级河湖长全面履行“巡、管、护、治”职责，常态化开展“清四乱”、河道采砂专项整治、碍洪图斑整改等行动，加强农村小微水体保护与生态修复；全面落实“四水四定”管理要求，加大重点用水企业、地下水取用水重点区域的常态化巡查力度，严厉打击非法取水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（责任单位：旗水利局、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林草局、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农牧和科技局）</w:t>
      </w:r>
    </w:p>
    <w:p w14:paraId="0E88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（六）强化生态要素保护与修复，筑牢生态安全屏障</w:t>
      </w:r>
    </w:p>
    <w:p w14:paraId="0BD06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山水林田湖草沙系统治理理念，严格落实林长制，构建“旗、镇、村”三级林长责任体系，明确各级林长履职职责，推动林草资源保护修复各项任务落地见效。持续推进生态保护与修复工程，完成48株古树名木“一树一证”挂牌保护全覆盖，建立数字化保护信息库并向社会公开；加强天然林、公益林保护修复，推进护村林、护路林、护岸林建设，强化抚育管理，提升林草生态功能。严守生态保护红线，细化网格巡查管理，加大违规放牧排查整治力度，高质量完成县域生态环境质量考核任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（责任单位：旗林草局、自然资源局、水利局、生态环境分局）</w:t>
      </w:r>
    </w:p>
    <w:p w14:paraId="22F7F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（七）开展增施有机肥行动，提升耕地质量等级</w:t>
      </w:r>
    </w:p>
    <w:p w14:paraId="3335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力推广“规模化养殖+有机肥加工+农田施用”的循环利用模式，引导农牧民科学增施有机肥，稳步提升耕地土壤有机质含量。依托本地规模养殖企业，培育壮大有机肥加工经营主体，完善有机肥生产、加工、销售、施用全链条产业链条。通过技术培训、现场观摩、案例宣讲等方式，强化宣传引导，提升农牧民对有机肥的认知度与使用积极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（责任单位：旗农牧和科技局）</w:t>
      </w:r>
    </w:p>
    <w:p w14:paraId="4599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（八）加强农用地土壤保护，严守耕地安全底线</w:t>
      </w:r>
    </w:p>
    <w:p w14:paraId="50632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源头严防、过程严管、后果严惩的治理思路，加强基本农田保护区、蔬菜种植基地、粮食主产区等高价值农用地的常态化巡查力度，严格管控周边工业企业、畜禽养殖场、垃圾处理站点等潜在污染源。深入推进农用地土壤重金属污染溯源排查与专项整治工作，确保无受污染耕地流入生产环节。制定专项整治方案，严厉打击向农村牧区非法排放、倾倒、处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固体</w:t>
      </w:r>
      <w:r>
        <w:rPr>
          <w:rFonts w:hint="eastAsia" w:ascii="仿宋_GB2312" w:hAnsi="仿宋_GB2312" w:eastAsia="仿宋_GB2312" w:cs="仿宋_GB2312"/>
          <w:sz w:val="32"/>
          <w:szCs w:val="32"/>
        </w:rPr>
        <w:t>废物等环境违法犯罪行为，加强农用地分类管理，动态调整土壤质量类别，全方位保障耕地质量安全。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（责任单位：旗生态环境分局、农牧和科技局、公安局）</w:t>
      </w:r>
    </w:p>
    <w:p w14:paraId="6DB6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（九）强化固体废物治理，探索规模化消纳利用路径</w:t>
      </w:r>
    </w:p>
    <w:p w14:paraId="1C393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中共中央、国务院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关于全面推进美丽中国建设的意见》中“无废城市”建设目标，推动固废治理与美丽乡村建设深度融合。聚焦钛石膏、磷石膏等大宗工业固体废物，探索消纳利用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途径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固废资源循环再利用。2027年前，对接全市“无废城市”建设60%覆盖要求，建成1—2个大宗固废规模化利用试点项目，建立固废产生、转运、利用全链条监管体系；2035年前全面融入全国“无废城市”建设格局，形成固废资源化利用与乡村生态修复协同推进的长效机制。强化政策引导与资金扶持，鼓励企业参与固废利用技术研发与项目建设，推动固废治理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矿山整治、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保护等领域深度融合，提升固废资源化利用附加值。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（责任单位：旗工信局、发改委、生态环境分局、自然资源局、农牧和科技局）</w:t>
      </w:r>
    </w:p>
    <w:p w14:paraId="760E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）提高畜禽养殖资源化水平，强化污染综合防治</w:t>
      </w:r>
    </w:p>
    <w:p w14:paraId="1587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区域资源环境承载能力，科学优化畜禽养殖布局规划。构建农牧部门与生态环境部门协同联动的全环节监管机制，督促规模养殖场完善粪污处理设施设备、健全台账管理制度，对存在的突出问题实行“一企一策”精准整改。推广粪污肥料化、能源化、饲料化等多元利用模式，探索“政府引导、企业主导、合作社参与”的政企社合作机制，培育壮大粪肥还田社会化服务组织，畅通粪肥还田利用渠道，2026年底前全旗畜禽粪污综合利用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稳定在</w:t>
      </w:r>
      <w:r>
        <w:rPr>
          <w:rFonts w:hint="eastAsia" w:ascii="仿宋_GB2312" w:hAnsi="仿宋_GB2312" w:eastAsia="仿宋_GB2312" w:cs="仿宋_GB2312"/>
          <w:sz w:val="32"/>
          <w:szCs w:val="32"/>
        </w:rPr>
        <w:t>92%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（责任单位：旗农牧和科技局、生态环境分局）</w:t>
      </w:r>
    </w:p>
    <w:p w14:paraId="5791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）推进农膜质量提升与残膜治理，减少农业面源污染</w:t>
      </w:r>
    </w:p>
    <w:p w14:paraId="44CE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守减量化、资源化、无害化治理原则，健全农膜生产、流通、使用、回收全链条监管机制。市场监管部门严把源头质量关，组织开展农膜生产销售领域专项整治行动，严厉排查整治非标地膜，强化进销货台账监管与质量抽检力度，广泛普及农膜使用标准及残膜污染危害知识，大力推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国标</w:t>
      </w:r>
      <w:r>
        <w:rPr>
          <w:rFonts w:hint="eastAsia" w:ascii="仿宋_GB2312" w:hAnsi="仿宋_GB2312" w:eastAsia="仿宋_GB2312" w:cs="仿宋_GB2312"/>
          <w:sz w:val="32"/>
          <w:szCs w:val="32"/>
        </w:rPr>
        <w:t>地膜。积极推广“一膜两用”、无膜浅埋滴灌、膜侧种植等减膜节本技术，农膜补贴精准直补到户；压实“谁使用、谁回收，谁污染、谁负责”的主体责任，健全完善农膜回收、处理、再利用体系，推广“机械回收为主、人工捡拾为辅”的回收模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减少耕地中残膜。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（责任单位：旗农牧和科技局、市场监管局、工信局、公安局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农牧业综合行政执法大队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 w14:paraId="2098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）加强秸秆综合利用与有效管控，促进资源化高效利用</w:t>
      </w:r>
    </w:p>
    <w:p w14:paraId="5C4AA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“政府引导扶持、合作社集中回收、农民积极参与、企业加工利用”的秸秆综合利用与收储服务长效机制。拓展秸秆饲料化、肥料化、燃料化、基料化等多元利用途径，结合区域产业特点分类推广适宜性秸秆综合利用技术，遴选培育专业化秸秆综合利用合作社，提升秸秆离田利用效能。推行农机作业标准化，从源头减少秸秆产生量，精准划定秸秆禁烧管控区域，健全管控与处罚机制，严厉遏制秸秆集中焚烧行为，严防引发重污染天气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（责任单位：旗农牧和科技局、生态环境分局）</w:t>
      </w:r>
    </w:p>
    <w:p w14:paraId="5CF6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）推进化肥农药减量，发展绿色生态农业</w:t>
      </w:r>
    </w:p>
    <w:p w14:paraId="683B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深化化肥农药减量增效行动，着力发展绿色生态农业。化肥减量方面，聚焦水肥一体化，机械侧深施等集成技术推广，年推广新型肥料，配方肥17万亩，稳定有机肥施用面积，保持测土配方施肥技术覆盖率超90%。农药减量方面，大力推广绿色防控，统防统治技术模式，2026年绿色防控，统防统治技术推广面积各达到14万亩。加大对未按规定回收农药包装废弃物行为的查处力度，2026年农药包装废弃物回收率超80%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（责任单位：旗农牧和科技局）</w:t>
      </w:r>
    </w:p>
    <w:p w14:paraId="6B6D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）推进农村地区清洁能源替代，优化能源消费结构</w:t>
      </w:r>
    </w:p>
    <w:p w14:paraId="2947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推进农村牧区清洁能源替代工作，扎实做好清洁取暖“煤改电”后续维护管理，明确设备供应单位的维保责任，建立常态化运维机制，保障清洁取暖设备稳定运行。加快推进10蒸吨及以下燃煤锅炉、2蒸吨及以下生物质锅炉的改造升级或淘汰退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（责任单位：旗住建局、生态环境分局）</w:t>
      </w:r>
    </w:p>
    <w:p w14:paraId="2682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）实施乡村绿化美化，改善村容村貌品质</w:t>
      </w:r>
    </w:p>
    <w:p w14:paraId="37C8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深入推进乡村绿化美化行动，持续开展农村“四旁”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（水旁、宅旁、路旁、村旁）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建设，引导农牧民发展庭院经济，倡导“见缝插绿、应绿尽绿”的绿化理念。集中整治村庄公共空间，清理私搭乱建、乱堆乱放等乱象，盘活农村零散闲置土地、死角盲区，实施村庄微改造、精提升工程，每个行政村至少新增1处小微公园、公共绿地或特色景观节点，打造1—2个“四旁”绿化和庭院经济样板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（责任单位：旗林草局、农牧和科技局、住建局、自然资源局）</w:t>
      </w:r>
    </w:p>
    <w:p w14:paraId="612A1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）引导农牧民参与建设，激发内生发展动力</w:t>
      </w:r>
    </w:p>
    <w:p w14:paraId="215B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秉持“谁建设、谁受益，谁管护、谁尽责”的政策导向，全面激发农牧民参与美丽乡村建设的内生动力。在村庄规划编制、建设任务确定、管护制度制定等关键环节，充分尊重农牧民意愿，广泛征求群众意见，鼓励村民通过投工投劳、自愿出资等方式参与建设，合理开发乡村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益性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岗位。科学分配高标准农田建设等项目资金，在设计、施工、管护、经营等全环节严格把关，打造高质量建设标杆。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（责任单位：旗农牧和科技局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、乡村振兴服务中心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）</w:t>
      </w:r>
    </w:p>
    <w:p w14:paraId="0A5B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）规范草原驿站运行，健全沿路保洁机制</w:t>
      </w:r>
    </w:p>
    <w:p w14:paraId="766E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边疆地域特色与民族文化底蕴，深度融入蒙元文化等元素推进“边关美”建设，集中整治沿线乱堆乱放、乱搭乱建等突出问题，打造洁净整洁、独具风情的边关风貌带，充分彰显边疆牧区的独特魅力。标准化推进牧区草原驿站运营管理，完善供水、休憩、垃圾收集、应急保障等配套服务设施，打造兼具基础服务功能与生态示范效应的边关节点。建立健全沿路沿线环境卫生保洁长效机制，明确管护责任区域、责任主体与管护标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采取护边员、护林员兼职等方式保障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保洁力量，实行常态化清扫与定期清运相结合的管护模式。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（责任单位：旗住建局、林草局、农牧和科技局、各相关苏木镇）</w:t>
      </w:r>
    </w:p>
    <w:p w14:paraId="2EF7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）强化宣传引导，培育文明和谐乡风</w:t>
      </w:r>
    </w:p>
    <w:p w14:paraId="7AB7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健全人居环境整治考评机制，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各苏木镇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常态化开展“干净人家”</w:t>
      </w:r>
      <w:r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  <w:highlight w:val="none"/>
        </w:rPr>
        <w:t>“精巴媳妇”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美丽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庭院”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环保卫士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等创建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表彰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活动，广泛发动群众参与爱国卫生运动，营造“全民共建美丽乡村、村村争先创优”的浓厚氛围。修订完善村规民约，强化对铺张浪费、厚葬薄养等不良风气的曝光劝导，持续深化移风易俗。健全多元主体协同联动的矛盾纠纷联调联处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深化旗、苏木镇综治中心规范化建设、实战化运行，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保障农村牧区和谐稳定。依托政府官网、微信公众号等平台，多渠道宣传美丽乡村建设先进范例与实践经验，传递正能量。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旗委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宣传部、政法委、社工部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农牧和科技局、卫健委、妇联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 w14:paraId="1F19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五、组织保障</w:t>
      </w:r>
    </w:p>
    <w:p w14:paraId="61E9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（一）加强组织领导</w:t>
      </w:r>
    </w:p>
    <w:p w14:paraId="2D99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旗委、旗政府总负责、相关部门协同联动、苏木镇具体落实的工作格局，明确年度任务清单、细化落实措施、压实推进进度，聚焦农业农村突出生态环境问题与民生需求，统筹推进美丽乡村建设各项工作。层层压实各级工作责任，将美丽乡村建设纳入各部门、各苏木镇重要议事日程，纳入年度督查检查与考核评价体系，充分发挥考核奖惩的“指挥棒”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（责任单位：旗委办、组织部、政府办）</w:t>
      </w:r>
    </w:p>
    <w:p w14:paraId="4C13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（二）加大资金保障</w:t>
      </w:r>
    </w:p>
    <w:p w14:paraId="6D5D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镇、各相关部门积极争取中央、自治区、市级各类专项扶持资金，统筹整合农村生活垃圾治理、生活污水处理、生态修复等领域项目资金，为美丽乡村建设持续提质提档提供坚实资金保障。坚持“谁受益、谁付费”原则，充分发挥财政资金的撬动引导作用，健全完善政府、村集体、企业、农民等多方分担的分级负担机制，调动社会各界参与积极性，多渠道、多层面筹集环境基础设施运维保障资金，确保各类设施设备“建得成、用得起、管得好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（责任单位：旗财政局、各相关部门）</w:t>
      </w:r>
    </w:p>
    <w:p w14:paraId="42F5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（三）抓好落实</w:t>
      </w:r>
    </w:p>
    <w:p w14:paraId="1E28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开展突出生态环境问题大排查大整治专项行动，聚焦农村生活污水治理、生活垃圾处置、黑臭水体整治、养殖污染防治、林业生态建设、固废治理等重点领域，全面排查梳理问题、建立详细清单、明确整改责任，实现“发现一个问题、整改一类问题、规范一个行业”的整治目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旗生态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保护协调服务中心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负责美丽乡村建设日常调度协调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各相关苏木镇和部门全力配合，积极推动各项任务落地见效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旗委办协调服务中心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、生态环境分局、各相关部门）</w:t>
      </w:r>
    </w:p>
    <w:p w14:paraId="470A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96D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0C1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0BB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0102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015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10A4D99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乌拉特后旗人民政府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2026年3月24日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</w:p>
    <w:sectPr>
      <w:footerReference r:id="rId3" w:type="default"/>
      <w:pgSz w:w="11905" w:h="16840"/>
      <w:pgMar w:top="2154" w:right="1474" w:bottom="1701" w:left="1587" w:header="72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B713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3BB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3BB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5A65"/>
    <w:rsid w:val="02C5297B"/>
    <w:rsid w:val="08B614C2"/>
    <w:rsid w:val="0B04049C"/>
    <w:rsid w:val="12B84489"/>
    <w:rsid w:val="16702E8A"/>
    <w:rsid w:val="1EFC0802"/>
    <w:rsid w:val="20350917"/>
    <w:rsid w:val="23444D70"/>
    <w:rsid w:val="237D0699"/>
    <w:rsid w:val="24CB3BC9"/>
    <w:rsid w:val="259700CD"/>
    <w:rsid w:val="276F5FA7"/>
    <w:rsid w:val="2BFABDAB"/>
    <w:rsid w:val="2F5D0385"/>
    <w:rsid w:val="30F317D1"/>
    <w:rsid w:val="352D62CE"/>
    <w:rsid w:val="37BC0933"/>
    <w:rsid w:val="3F076304"/>
    <w:rsid w:val="4ECC5893"/>
    <w:rsid w:val="4F14170D"/>
    <w:rsid w:val="5BB508D1"/>
    <w:rsid w:val="5FFF5402"/>
    <w:rsid w:val="63FB2AD8"/>
    <w:rsid w:val="67F430E4"/>
    <w:rsid w:val="68FC5484"/>
    <w:rsid w:val="75CB690A"/>
    <w:rsid w:val="77226E49"/>
    <w:rsid w:val="77EC4BD1"/>
    <w:rsid w:val="79E5119E"/>
    <w:rsid w:val="7A4D5B72"/>
    <w:rsid w:val="7A893A08"/>
    <w:rsid w:val="7ABA46FC"/>
    <w:rsid w:val="7BF3465F"/>
    <w:rsid w:val="7EF7A1BE"/>
    <w:rsid w:val="7FBFB745"/>
    <w:rsid w:val="8B7D17B9"/>
    <w:rsid w:val="9BFB4C8F"/>
    <w:rsid w:val="9C7F2D29"/>
    <w:rsid w:val="BFFEEEF7"/>
    <w:rsid w:val="DEBFF3DA"/>
    <w:rsid w:val="EBEFA33E"/>
    <w:rsid w:val="F7FEF829"/>
    <w:rsid w:val="FA6FCBC6"/>
    <w:rsid w:val="FD7F8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da62c852-ef53-4b0d-a85f-10fa7d6af7af</errorID>
      <errorWord xmlns="http://schemas.wps.cn/vas-ai-hub/contract-review">兴与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兴和</item>
      </candidateList>
      <explain xmlns="http://schemas.wps.cn/vas-ai-hub/contract-review"/>
      <paraID xmlns="http://schemas.wps.cn/vas-ai-hub/contract-review">55CACA19</paraID>
      <start xmlns="http://schemas.wps.cn/vas-ai-hub/contract-review">130</start>
      <end xmlns="http://schemas.wps.cn/vas-ai-hub/contract-review">132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bf728a57-9a55-42ad-b234-d6d4239ec21a</errorID>
      <errorWord xmlns="http://schemas.wps.cn/vas-ai-hub/contract-review">施用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使用</item>
      </candidateList>
      <explain xmlns="http://schemas.wps.cn/vas-ai-hub/contract-review">〈动〉使人员、器物、资金等为某种目的服务：～干部｜合理～资金。</explain>
      <paraID xmlns="http://schemas.wps.cn/vas-ai-hub/contract-review">3335588F</paraID>
      <start xmlns="http://schemas.wps.cn/vas-ai-hub/contract-review">96</start>
      <end xmlns="http://schemas.wps.cn/vas-ai-hub/contract-review">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d4cb8006-bb09-4903-9a5b-e70d63312e83</errorID>
      <errorWord xmlns="http://schemas.wps.cn/vas-ai-hub/contract-review">面积各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面积</item>
      </candidateList>
      <explain xmlns="http://schemas.wps.cn/vas-ai-hub/contract-review">〈名〉平面或物体表面的大小：土地～｜建筑～。</explain>
      <paraID xmlns="http://schemas.wps.cn/vas-ai-hub/contract-review">683B5A6F</paraID>
      <start xmlns="http://schemas.wps.cn/vas-ai-hub/contract-review">141</start>
      <end xmlns="http://schemas.wps.cn/vas-ai-hub/contract-review">144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3d614-b58e-4316-b4ef-09ba2eb19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6909</Words>
  <Characters>6962</Characters>
  <TotalTime>14</TotalTime>
  <ScaleCrop>false</ScaleCrop>
  <LinksUpToDate>false</LinksUpToDate>
  <CharactersWithSpaces>6962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2026-01-18T00:10:00Z</dcterms:created>
  <dc:creator>Apache POI</dc:creator>
  <cp:lastModifiedBy>郝睿</cp:lastModifiedBy>
  <cp:lastPrinted>2026-03-24T11:18:33Z</cp:lastPrinted>
  <dcterms:modified xsi:type="dcterms:W3CDTF">2026-03-24T11:23:13Z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eyJoZGlkIjoiMTQ4MjczMDQxNGRjNDU1MzZhYTAzYTZmNTA5YjA3MWYiLCJ1c2VySWQiOiIyMjg3MTgxMDYifQ==</vt:lpwstr>
  </property>
  <property fmtid="{D5CDD505-2E9C-101B-9397-08002B2CF9AE}" pid="3" name="KSOProductBuildVer">
    <vt:lpwstr>2052-12.8.2.1119</vt:lpwstr>
  </property>
  <property fmtid="{D5CDD505-2E9C-101B-9397-08002B2CF9AE}" pid="4" name="ICV">
    <vt:lpwstr>9C6FF0D84B393DE0F036B26978B54D00_43</vt:lpwstr>
  </property>
</Properties>
</file>