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99A10">
      <w:pPr>
        <w:rPr>
          <w:rFonts w:hint="default" w:ascii="Times New Roman" w:hAnsi="Times New Roman" w:cs="Times New Roman"/>
        </w:rPr>
      </w:pPr>
    </w:p>
    <w:p w14:paraId="08D3A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392A1B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1381BB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F0991F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F45A74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CBF3A2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DFD509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E44D67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5F7ADC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48C274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17E811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乌后政办字〔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号</w:t>
      </w:r>
    </w:p>
    <w:p w14:paraId="3C3D2FD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4AA23B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乌拉特后旗人民政府办公室</w:t>
      </w:r>
    </w:p>
    <w:p w14:paraId="40C55C0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关于公布行政规范性文件定期清理结果的通知</w:t>
      </w:r>
    </w:p>
    <w:p w14:paraId="1165DC4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690FCFA">
      <w:pPr>
        <w:shd w:val="clear"/>
        <w:rPr>
          <w:rFonts w:hint="default" w:ascii="Times New Roman" w:hAnsi="Times New Roman" w:cs="Times New Roman"/>
        </w:rPr>
      </w:pPr>
    </w:p>
    <w:p w14:paraId="39BED34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各苏木镇人民政府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旗直各部门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驻旗各单位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</w:t>
      </w:r>
    </w:p>
    <w:p w14:paraId="6BCC36B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F2F2F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F2F2F"/>
          <w:spacing w:val="0"/>
          <w:sz w:val="32"/>
          <w:szCs w:val="32"/>
          <w:shd w:val="clear" w:fill="FFFFFF"/>
        </w:rPr>
        <w:t>按照《内蒙古自治区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F2F2F"/>
          <w:spacing w:val="0"/>
          <w:sz w:val="32"/>
          <w:szCs w:val="32"/>
          <w:shd w:val="clear" w:fill="FFFFFF"/>
          <w:lang w:val="en-US"/>
        </w:rPr>
        <w:t>行政规范性文件管理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F2F2F"/>
          <w:spacing w:val="0"/>
          <w:sz w:val="32"/>
          <w:szCs w:val="32"/>
          <w:shd w:val="clear" w:fill="FFFFFF"/>
        </w:rPr>
        <w:t>办法》和《内蒙古自治区人民政府办公厅关于开展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F2F2F"/>
          <w:spacing w:val="0"/>
          <w:sz w:val="32"/>
          <w:szCs w:val="32"/>
          <w:shd w:val="clear" w:fill="FFFFFF"/>
          <w:lang w:val="en-US" w:eastAsia="zh-CN"/>
        </w:rPr>
        <w:t>政府规章和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F2F2F"/>
          <w:spacing w:val="0"/>
          <w:sz w:val="32"/>
          <w:szCs w:val="32"/>
          <w:shd w:val="clear" w:fill="FFFFFF"/>
        </w:rPr>
        <w:t>行政规范性文件清理工作的通知》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F2F2F"/>
          <w:spacing w:val="0"/>
          <w:sz w:val="32"/>
          <w:szCs w:val="32"/>
          <w:shd w:val="clear" w:fill="FFFFFF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F2F2F"/>
          <w:spacing w:val="0"/>
          <w:sz w:val="32"/>
          <w:szCs w:val="32"/>
          <w:shd w:val="clear" w:fill="FFFFFF"/>
        </w:rPr>
        <w:t>要求，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旗政府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重点对列入清理范围的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规范性文件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进行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全面清理。经过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梳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理，继续有效的</w:t>
      </w:r>
      <w:r>
        <w:rPr>
          <w:rFonts w:hint="default" w:ascii="Times New Roman" w:hAnsi="Times New Roman" w:eastAsia="仿宋" w:cs="Times New Roman"/>
          <w:sz w:val="32"/>
          <w:szCs w:val="32"/>
        </w:rPr>
        <w:t>行政规范性文件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件，废止和宣布失效的行政规范性文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件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件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F2F2F"/>
          <w:spacing w:val="0"/>
          <w:sz w:val="32"/>
          <w:szCs w:val="32"/>
          <w:shd w:val="clear" w:fill="FFFFFF"/>
        </w:rPr>
        <w:t>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F2F2F"/>
          <w:spacing w:val="0"/>
          <w:sz w:val="32"/>
          <w:szCs w:val="32"/>
          <w:shd w:val="clear" w:fill="FFFFFF"/>
          <w:lang w:val="en-US" w:eastAsia="zh-CN"/>
        </w:rPr>
        <w:t>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F2F2F"/>
          <w:spacing w:val="0"/>
          <w:sz w:val="32"/>
          <w:szCs w:val="32"/>
          <w:shd w:val="clear" w:fill="FFFFFF"/>
        </w:rPr>
        <w:t>如下：</w:t>
      </w:r>
    </w:p>
    <w:p w14:paraId="594459C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2F2F2F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F2F2F"/>
          <w:spacing w:val="0"/>
          <w:sz w:val="32"/>
          <w:szCs w:val="32"/>
          <w:shd w:val="clear" w:fill="FFFFFF"/>
          <w:lang w:val="en-US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F2F2F"/>
          <w:spacing w:val="0"/>
          <w:sz w:val="32"/>
          <w:szCs w:val="32"/>
          <w:shd w:val="clear" w:fill="FFFFFF"/>
        </w:rPr>
        <w:t>一、继续有效的规范性文件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F2F2F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F2F2F"/>
          <w:spacing w:val="0"/>
          <w:sz w:val="32"/>
          <w:szCs w:val="32"/>
          <w:shd w:val="clear" w:fill="FFFFFF"/>
        </w:rPr>
        <w:t>件，宣布失效的规范性文件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F2F2F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F2F2F"/>
          <w:spacing w:val="0"/>
          <w:sz w:val="32"/>
          <w:szCs w:val="32"/>
          <w:shd w:val="clear" w:fill="FFFFFF"/>
        </w:rPr>
        <w:t>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F2F2F"/>
          <w:spacing w:val="0"/>
          <w:sz w:val="32"/>
          <w:szCs w:val="32"/>
          <w:shd w:val="clear" w:fill="FFFFFF"/>
          <w:lang w:eastAsia="zh-CN"/>
        </w:rPr>
        <w:t>。</w:t>
      </w:r>
    </w:p>
    <w:p w14:paraId="3E5CFC9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F2F2F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F2F2F"/>
          <w:spacing w:val="0"/>
          <w:sz w:val="32"/>
          <w:szCs w:val="32"/>
          <w:shd w:val="clear" w:fill="FFFFFF"/>
        </w:rPr>
        <w:t>二、凡列入废止、宣布失效目录的规范性文件，自通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F2F2F"/>
          <w:spacing w:val="0"/>
          <w:sz w:val="32"/>
          <w:szCs w:val="32"/>
          <w:shd w:val="clear" w:fill="FFFFFF"/>
          <w:lang w:val="en-US" w:eastAsia="zh-CN"/>
        </w:rPr>
        <w:t>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F2F2F"/>
          <w:spacing w:val="0"/>
          <w:sz w:val="32"/>
          <w:szCs w:val="32"/>
          <w:shd w:val="clear" w:fill="FFFFFF"/>
        </w:rPr>
        <w:t>发布之日起一律停止执行，今后不得作为行政管理依据。</w:t>
      </w:r>
    </w:p>
    <w:p w14:paraId="3F802AF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F2F2F"/>
          <w:spacing w:val="0"/>
          <w:sz w:val="32"/>
          <w:szCs w:val="32"/>
          <w:shd w:val="clear" w:fill="FFFFFF"/>
        </w:rPr>
      </w:pPr>
    </w:p>
    <w:p w14:paraId="5EB129B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F2F2F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F2F2F"/>
          <w:spacing w:val="0"/>
          <w:sz w:val="32"/>
          <w:szCs w:val="32"/>
          <w:shd w:val="clear" w:fill="FFFFFF"/>
        </w:rPr>
        <w:t>附件：1.乌拉特后旗人民政府继续有效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F2F2F"/>
          <w:spacing w:val="0"/>
          <w:sz w:val="32"/>
          <w:szCs w:val="32"/>
          <w:shd w:val="clear" w:fill="FFFFFF"/>
          <w:lang w:eastAsia="zh-CN"/>
        </w:rPr>
        <w:t>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F2F2F"/>
          <w:spacing w:val="0"/>
          <w:sz w:val="32"/>
          <w:szCs w:val="32"/>
          <w:shd w:val="clear" w:fill="FFFFFF"/>
        </w:rPr>
        <w:t>行政规范性文件目录</w:t>
      </w:r>
    </w:p>
    <w:p w14:paraId="492D6D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F2F2F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F2F2F"/>
          <w:spacing w:val="0"/>
          <w:sz w:val="32"/>
          <w:szCs w:val="32"/>
          <w:shd w:val="clear" w:fill="FFFFFF"/>
          <w:lang w:val="en-US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F2F2F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F2F2F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F2F2F"/>
          <w:spacing w:val="0"/>
          <w:sz w:val="32"/>
          <w:szCs w:val="32"/>
          <w:shd w:val="clear" w:fill="FFFFFF"/>
        </w:rPr>
        <w:t>.乌拉特后旗人民政府宣布失效的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F2F2F"/>
          <w:spacing w:val="0"/>
          <w:sz w:val="32"/>
          <w:szCs w:val="32"/>
          <w:shd w:val="clear" w:fill="FFFFFF"/>
          <w:lang w:eastAsia="zh-CN"/>
        </w:rPr>
        <w:t>行政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F2F2F"/>
          <w:spacing w:val="0"/>
          <w:sz w:val="32"/>
          <w:szCs w:val="32"/>
          <w:shd w:val="clear" w:fill="FFFFFF"/>
        </w:rPr>
        <w:t>规范性文件目录</w:t>
      </w:r>
    </w:p>
    <w:p w14:paraId="6EBFA99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F2F2F"/>
          <w:spacing w:val="0"/>
          <w:sz w:val="32"/>
          <w:szCs w:val="32"/>
          <w:shd w:val="clear" w:fill="FFFFFF"/>
        </w:rPr>
      </w:pPr>
    </w:p>
    <w:p w14:paraId="0BDD3F3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F2F2F"/>
          <w:spacing w:val="0"/>
          <w:sz w:val="32"/>
          <w:szCs w:val="32"/>
          <w:shd w:val="clear" w:fill="FFFFFF"/>
        </w:rPr>
      </w:pPr>
    </w:p>
    <w:p w14:paraId="2502784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F2F2F"/>
          <w:spacing w:val="0"/>
          <w:sz w:val="32"/>
          <w:szCs w:val="32"/>
          <w:shd w:val="clear" w:fill="FFFFFF"/>
        </w:rPr>
      </w:pPr>
    </w:p>
    <w:p w14:paraId="03D3C81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160" w:firstLineChars="13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乌拉特后旗人民政府办公室</w:t>
      </w:r>
    </w:p>
    <w:p w14:paraId="3B4CE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tbl>
      <w:tblPr>
        <w:tblStyle w:val="8"/>
        <w:tblW w:w="11102" w:type="dxa"/>
        <w:tblInd w:w="-8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4217"/>
        <w:gridCol w:w="2620"/>
        <w:gridCol w:w="1513"/>
        <w:gridCol w:w="1777"/>
      </w:tblGrid>
      <w:tr w14:paraId="43036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1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F5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2EDEF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乌拉特后旗人民政府继续有效的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行政规范性文件目录</w:t>
            </w:r>
          </w:p>
        </w:tc>
      </w:tr>
      <w:tr w14:paraId="12B3D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10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9B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填报时间：</w:t>
            </w:r>
            <w:r>
              <w:rPr>
                <w:rStyle w:val="14"/>
                <w:rFonts w:eastAsia="宋体"/>
                <w:lang w:val="en-US" w:eastAsia="zh-CN" w:bidi="ar"/>
              </w:rPr>
              <w:t>2025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Style w:val="14"/>
                <w:rFonts w:eastAsia="宋体"/>
                <w:lang w:val="en-US" w:eastAsia="zh-CN" w:bidi="ar"/>
              </w:rPr>
              <w:t>10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Style w:val="14"/>
                <w:rFonts w:eastAsia="宋体"/>
                <w:lang w:val="en-US" w:eastAsia="zh-CN" w:bidi="ar"/>
              </w:rPr>
              <w:t>30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</w:tr>
      <w:tr w14:paraId="182A7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3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2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4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文件名称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9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发文字号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E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印发时间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F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责任部门</w:t>
            </w:r>
          </w:p>
        </w:tc>
      </w:tr>
      <w:tr w14:paraId="2535B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6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A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关于印发《乌拉特后旗农村、牧区集体聚餐食品安全管理办法》的通知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D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乌政办发〔</w:t>
            </w:r>
            <w:r>
              <w:rPr>
                <w:rStyle w:val="15"/>
                <w:rFonts w:eastAsia="宋体"/>
                <w:lang w:val="en-US" w:eastAsia="zh-CN" w:bidi="ar"/>
              </w:rPr>
              <w:t>2016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</w:t>
            </w:r>
            <w:r>
              <w:rPr>
                <w:rStyle w:val="15"/>
                <w:rFonts w:eastAsia="宋体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A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2016/11/28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2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乌拉特后旗市场监督管理局</w:t>
            </w:r>
          </w:p>
        </w:tc>
      </w:tr>
      <w:tr w14:paraId="3158D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D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D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乌拉特后旗人民政府办公室关于印发《乌拉特后旗重大活动餐饮服务食品安全监督管理规范实施办法》和《乌拉特后旗食品药品安全工作评议考核办法》的通知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乌政办发〔</w:t>
            </w:r>
            <w:r>
              <w:rPr>
                <w:rStyle w:val="15"/>
                <w:rFonts w:eastAsia="宋体"/>
                <w:lang w:val="en-US" w:eastAsia="zh-CN" w:bidi="ar"/>
              </w:rPr>
              <w:t>2017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</w:t>
            </w:r>
            <w:r>
              <w:rPr>
                <w:rStyle w:val="15"/>
                <w:rFonts w:eastAsia="宋体"/>
                <w:lang w:val="en-US" w:eastAsia="zh-CN" w:bidi="ar"/>
              </w:rPr>
              <w:t>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9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2017/11/8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2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乌拉特后旗市场监督管理局</w:t>
            </w:r>
          </w:p>
        </w:tc>
      </w:tr>
      <w:tr w14:paraId="467A1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C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C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乌拉特后旗人民政府关于印发《关于在市场体系中建立公平竞争审查制度的实施意见》的通知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6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乌政字〔</w:t>
            </w:r>
            <w:r>
              <w:rPr>
                <w:rStyle w:val="15"/>
                <w:rFonts w:eastAsia="宋体"/>
                <w:lang w:val="en-US" w:eastAsia="zh-CN" w:bidi="ar"/>
              </w:rPr>
              <w:t>2018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</w:t>
            </w:r>
            <w:r>
              <w:rPr>
                <w:rStyle w:val="15"/>
                <w:rFonts w:eastAsia="宋体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C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2018/6/19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0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乌拉特后旗发展和改革委员会</w:t>
            </w:r>
          </w:p>
        </w:tc>
      </w:tr>
      <w:tr w14:paraId="4B9C8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3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8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关于调整我旗党政机关和事业单位差旅住宿费等有关问题的通知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6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乌政发〔</w:t>
            </w:r>
            <w:r>
              <w:rPr>
                <w:rStyle w:val="15"/>
                <w:rFonts w:eastAsia="宋体"/>
                <w:lang w:val="en-US" w:eastAsia="zh-CN" w:bidi="ar"/>
              </w:rPr>
              <w:t>2016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</w:t>
            </w:r>
            <w:r>
              <w:rPr>
                <w:rStyle w:val="15"/>
                <w:rFonts w:eastAsia="宋体"/>
                <w:lang w:val="en-US" w:eastAsia="zh-CN" w:bidi="ar"/>
              </w:rPr>
              <w:t>113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C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2016/10/10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1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乌拉特后旗财政局</w:t>
            </w:r>
          </w:p>
        </w:tc>
      </w:tr>
      <w:tr w14:paraId="4ED4D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D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1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关于印发《乌拉特后旗廉租房和公共租赁住房并轨运行管理实施意见的通知》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A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乌政办发〔</w:t>
            </w:r>
            <w:r>
              <w:rPr>
                <w:rStyle w:val="15"/>
                <w:rFonts w:eastAsia="宋体"/>
                <w:lang w:val="en-US" w:eastAsia="zh-CN" w:bidi="ar"/>
              </w:rPr>
              <w:t>2015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</w:t>
            </w:r>
            <w:r>
              <w:rPr>
                <w:rStyle w:val="15"/>
                <w:rFonts w:eastAsia="宋体"/>
                <w:lang w:val="en-US" w:eastAsia="zh-CN" w:bidi="ar"/>
              </w:rPr>
              <w:t>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4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2015/6/9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F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乌拉特后旗房屋产权交易中心</w:t>
            </w:r>
          </w:p>
        </w:tc>
      </w:tr>
      <w:tr w14:paraId="02B9F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A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3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关于印发《乌拉特后旗教育教学质量奖励办法》的通知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4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乌政办发〔</w:t>
            </w:r>
            <w:r>
              <w:rPr>
                <w:rStyle w:val="15"/>
                <w:rFonts w:eastAsia="宋体"/>
                <w:lang w:val="en-US" w:eastAsia="zh-CN" w:bidi="ar"/>
              </w:rPr>
              <w:t>2016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</w:t>
            </w:r>
            <w:r>
              <w:rPr>
                <w:rStyle w:val="15"/>
                <w:rFonts w:eastAsia="宋体"/>
                <w:lang w:val="en-US" w:eastAsia="zh-CN" w:bidi="ar"/>
              </w:rPr>
              <w:t>97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C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2016/12/27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D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乌拉特后旗教育局</w:t>
            </w:r>
          </w:p>
        </w:tc>
      </w:tr>
    </w:tbl>
    <w:p w14:paraId="00CAC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tbl>
      <w:tblPr>
        <w:tblStyle w:val="8"/>
        <w:tblW w:w="10762" w:type="dxa"/>
        <w:tblInd w:w="-7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2995"/>
        <w:gridCol w:w="3300"/>
        <w:gridCol w:w="1680"/>
        <w:gridCol w:w="1650"/>
      </w:tblGrid>
      <w:tr w14:paraId="05B9A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07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4C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 w14:paraId="75029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乌拉特后旗人民政府宣布失效的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行政规范性文件目录</w:t>
            </w:r>
          </w:p>
        </w:tc>
      </w:tr>
      <w:tr w14:paraId="6A334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762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E0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填报时间：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</w:tr>
      <w:tr w14:paraId="2FE89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0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B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文件名称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F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发文字号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1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印发时间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0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责任部门</w:t>
            </w:r>
          </w:p>
        </w:tc>
      </w:tr>
      <w:tr w14:paraId="52095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6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C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关于印发《乌拉特后旗普通高校新生奖助学金实施方案》的通知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E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乌政办发〔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0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2014/8/19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8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乌拉特后旗教育局</w:t>
            </w:r>
          </w:p>
        </w:tc>
      </w:tr>
      <w:tr w14:paraId="5C0D4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7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3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关于印发《乌拉特后旗加快文旅融合发展的实施意见（试行）》《乌拉特后旗促进文旅融合发展扶持奖励办法》的通知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2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乌政发〔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E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2022/3/11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C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乌拉特后旗旅游服务中心</w:t>
            </w:r>
          </w:p>
        </w:tc>
      </w:tr>
    </w:tbl>
    <w:p w14:paraId="23002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jUyYWE2NjAwODQzN2VkY2ZiYmY0YTEzN2UzMjkifQ=="/>
  </w:docVars>
  <w:rsids>
    <w:rsidRoot w:val="5B992327"/>
    <w:rsid w:val="05571F68"/>
    <w:rsid w:val="088A49CD"/>
    <w:rsid w:val="10B91735"/>
    <w:rsid w:val="11717F0E"/>
    <w:rsid w:val="1994741A"/>
    <w:rsid w:val="19F63F21"/>
    <w:rsid w:val="1A7F369B"/>
    <w:rsid w:val="1BFB20E3"/>
    <w:rsid w:val="1CD777BF"/>
    <w:rsid w:val="22421B7E"/>
    <w:rsid w:val="297B6997"/>
    <w:rsid w:val="2A2B7CED"/>
    <w:rsid w:val="2A551A7E"/>
    <w:rsid w:val="2C4E41A9"/>
    <w:rsid w:val="2F722FB9"/>
    <w:rsid w:val="316B29BB"/>
    <w:rsid w:val="341A3182"/>
    <w:rsid w:val="397228F1"/>
    <w:rsid w:val="42FE5862"/>
    <w:rsid w:val="4A9122A1"/>
    <w:rsid w:val="4C280C68"/>
    <w:rsid w:val="5B2A43D0"/>
    <w:rsid w:val="5B992327"/>
    <w:rsid w:val="5C633263"/>
    <w:rsid w:val="5E6C1389"/>
    <w:rsid w:val="5FCDB92F"/>
    <w:rsid w:val="6A9C13A8"/>
    <w:rsid w:val="77BFA233"/>
    <w:rsid w:val="7AFF601B"/>
    <w:rsid w:val="7EFFEC7B"/>
    <w:rsid w:val="7F7718B1"/>
    <w:rsid w:val="7FFA582F"/>
    <w:rsid w:val="D8BFB46A"/>
    <w:rsid w:val="FDF78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44"/>
    </w:rPr>
  </w:style>
  <w:style w:type="paragraph" w:styleId="3">
    <w:name w:val="Normal (Web)"/>
    <w:basedOn w:val="1"/>
    <w:next w:val="4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next w:val="5"/>
    <w:qFormat/>
    <w:uiPriority w:val="0"/>
    <w:pPr>
      <w:spacing w:after="120"/>
      <w:ind w:firstLine="420" w:firstLineChars="100"/>
      <w:jc w:val="both"/>
    </w:pPr>
    <w:rPr>
      <w:sz w:val="24"/>
    </w:rPr>
  </w:style>
  <w:style w:type="paragraph" w:styleId="5">
    <w:name w:val="Body Text First Indent 2"/>
    <w:basedOn w:val="6"/>
    <w:next w:val="1"/>
    <w:qFormat/>
    <w:uiPriority w:val="0"/>
    <w:pPr>
      <w:spacing w:line="360" w:lineRule="auto"/>
      <w:ind w:firstLine="420" w:firstLineChars="200"/>
    </w:pPr>
    <w:rPr>
      <w:szCs w:val="24"/>
    </w:rPr>
  </w:style>
  <w:style w:type="paragraph" w:styleId="6">
    <w:name w:val="Body Text Indent"/>
    <w:basedOn w:val="1"/>
    <w:next w:val="7"/>
    <w:qFormat/>
    <w:uiPriority w:val="0"/>
    <w:pPr>
      <w:ind w:firstLine="552" w:firstLineChars="200"/>
    </w:pPr>
    <w:rPr>
      <w:rFonts w:ascii="宋体" w:hAnsi="宋体"/>
      <w:spacing w:val="-2"/>
      <w:sz w:val="28"/>
    </w:rPr>
  </w:style>
  <w:style w:type="paragraph" w:styleId="7">
    <w:name w:val="toc 2"/>
    <w:basedOn w:val="1"/>
    <w:next w:val="1"/>
    <w:unhideWhenUsed/>
    <w:qFormat/>
    <w:uiPriority w:val="39"/>
    <w:pPr>
      <w:ind w:left="420" w:leftChars="200"/>
    </w:pPr>
    <w:rPr>
      <w:rFonts w:ascii="仿宋" w:hAnsi="仿宋" w:eastAsia="仿宋"/>
      <w:sz w:val="32"/>
      <w:szCs w:val="32"/>
    </w:rPr>
  </w:style>
  <w:style w:type="character" w:customStyle="1" w:styleId="10">
    <w:name w:val="font21"/>
    <w:basedOn w:val="9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1">
    <w:name w:val="font61"/>
    <w:basedOn w:val="9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31"/>
    <w:basedOn w:val="9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5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931</Words>
  <Characters>1050</Characters>
  <Lines>0</Lines>
  <Paragraphs>0</Paragraphs>
  <TotalTime>17</TotalTime>
  <ScaleCrop>false</ScaleCrop>
  <LinksUpToDate>false</LinksUpToDate>
  <CharactersWithSpaces>1082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2021-08-31T08:08:00Z</dcterms:created>
  <dc:creator> </dc:creator>
  <cp:lastModifiedBy>大数据中心</cp:lastModifiedBy>
  <cp:lastPrinted>2025-11-01T03:03:00Z</cp:lastPrinted>
  <dcterms:modified xsi:type="dcterms:W3CDTF">2025-11-03T09:21:05Z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7E0DFC2AB5F04BBA8B9DDA9C6D538EDC</vt:lpwstr>
  </property>
  <property fmtid="{D5CDD505-2E9C-101B-9397-08002B2CF9AE}" pid="4" name="KSOTemplateDocerSaveRecord">
    <vt:lpwstr>eyJoZGlkIjoiYTliMjc1YjRlYmExNDMwZTllOWI5YTg0Y2E2MmZiNjciLCJ1c2VySWQiOiIxMzY4NTczMTEzIn0=</vt:lpwstr>
  </property>
</Properties>
</file>