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33B693">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小标宋简体" w:cs="Times New Roman"/>
          <w:sz w:val="44"/>
          <w:szCs w:val="44"/>
          <w:highlight w:val="none"/>
        </w:rPr>
      </w:pPr>
    </w:p>
    <w:p w14:paraId="5E3AC1E5">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小标宋简体" w:cs="Times New Roman"/>
          <w:sz w:val="44"/>
          <w:szCs w:val="44"/>
          <w:highlight w:val="none"/>
        </w:rPr>
      </w:pPr>
    </w:p>
    <w:p w14:paraId="0776786F">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小标宋简体" w:cs="Times New Roman"/>
          <w:sz w:val="44"/>
          <w:szCs w:val="44"/>
          <w:highlight w:val="none"/>
        </w:rPr>
      </w:pPr>
    </w:p>
    <w:p w14:paraId="72751DDF">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小标宋简体" w:cs="Times New Roman"/>
          <w:sz w:val="44"/>
          <w:szCs w:val="44"/>
          <w:highlight w:val="none"/>
        </w:rPr>
      </w:pPr>
    </w:p>
    <w:p w14:paraId="535CFFB4">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小标宋简体" w:cs="Times New Roman"/>
          <w:sz w:val="44"/>
          <w:szCs w:val="44"/>
          <w:highlight w:val="none"/>
        </w:rPr>
      </w:pPr>
    </w:p>
    <w:p w14:paraId="5D39D4EC">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小标宋简体" w:cs="Times New Roman"/>
          <w:sz w:val="44"/>
          <w:szCs w:val="44"/>
          <w:highlight w:val="none"/>
        </w:rPr>
      </w:pPr>
    </w:p>
    <w:p w14:paraId="2CAF8B18">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小标宋简体" w:cs="Times New Roman"/>
          <w:sz w:val="44"/>
          <w:szCs w:val="44"/>
          <w:highlight w:val="none"/>
        </w:rPr>
      </w:pPr>
    </w:p>
    <w:p w14:paraId="4FFF1328">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小标宋简体" w:cs="Times New Roman"/>
          <w:sz w:val="44"/>
          <w:szCs w:val="44"/>
          <w:highlight w:val="none"/>
        </w:rPr>
      </w:pPr>
    </w:p>
    <w:p w14:paraId="4ECEE419">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小标宋简体" w:cs="Times New Roman"/>
          <w:sz w:val="44"/>
          <w:szCs w:val="44"/>
          <w:highlight w:val="none"/>
        </w:rPr>
      </w:pPr>
      <w:bookmarkStart w:id="2" w:name="_GoBack"/>
      <w:bookmarkEnd w:id="2"/>
    </w:p>
    <w:p w14:paraId="4DE9CA98">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小标宋简体" w:cs="Times New Roman"/>
          <w:sz w:val="44"/>
          <w:szCs w:val="44"/>
          <w:highlight w:val="none"/>
        </w:rPr>
      </w:pPr>
    </w:p>
    <w:p w14:paraId="1B7EED7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sz w:val="44"/>
          <w:szCs w:val="44"/>
          <w:highlight w:val="none"/>
          <w:lang w:val="en-US" w:eastAsia="zh-CN"/>
        </w:rPr>
      </w:pPr>
      <w:r>
        <w:rPr>
          <w:rFonts w:hint="eastAsia" w:ascii="Times New Roman" w:hAnsi="Times New Roman" w:eastAsia="仿宋_GB2312" w:cs="Times New Roman"/>
          <w:sz w:val="32"/>
          <w:szCs w:val="32"/>
          <w:highlight w:val="none"/>
          <w:lang w:val="en-US" w:eastAsia="zh-CN"/>
        </w:rPr>
        <w:t>乌后政办发〔2026〕11号</w:t>
      </w:r>
    </w:p>
    <w:p w14:paraId="581746D8">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小标宋简体" w:cs="Times New Roman"/>
          <w:sz w:val="44"/>
          <w:szCs w:val="44"/>
          <w:highlight w:val="none"/>
        </w:rPr>
      </w:pPr>
    </w:p>
    <w:p w14:paraId="329F628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sz w:val="44"/>
          <w:szCs w:val="44"/>
          <w:highlight w:val="none"/>
        </w:rPr>
      </w:pPr>
      <w:r>
        <w:rPr>
          <w:rFonts w:hint="default" w:ascii="Times New Roman" w:hAnsi="Times New Roman" w:eastAsia="方正小标宋简体" w:cs="Times New Roman"/>
          <w:sz w:val="44"/>
          <w:szCs w:val="44"/>
          <w:highlight w:val="none"/>
        </w:rPr>
        <w:t>乌拉特后旗人民政府办公室</w:t>
      </w:r>
    </w:p>
    <w:p w14:paraId="2BCC098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sz w:val="44"/>
          <w:szCs w:val="44"/>
          <w:highlight w:val="none"/>
        </w:rPr>
      </w:pPr>
      <w:r>
        <w:rPr>
          <w:rFonts w:hint="default" w:ascii="Times New Roman" w:hAnsi="Times New Roman" w:eastAsia="方正小标宋简体" w:cs="Times New Roman"/>
          <w:sz w:val="44"/>
          <w:szCs w:val="44"/>
          <w:highlight w:val="none"/>
        </w:rPr>
        <w:t>关于印发《乌拉特后旗中央财政支持</w:t>
      </w:r>
    </w:p>
    <w:p w14:paraId="300C1A9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sz w:val="44"/>
          <w:szCs w:val="44"/>
          <w:highlight w:val="none"/>
        </w:rPr>
      </w:pPr>
      <w:r>
        <w:rPr>
          <w:rFonts w:hint="default" w:ascii="Times New Roman" w:hAnsi="Times New Roman" w:eastAsia="方正小标宋简体" w:cs="Times New Roman"/>
          <w:sz w:val="44"/>
          <w:szCs w:val="44"/>
          <w:highlight w:val="none"/>
        </w:rPr>
        <w:t>公立医院改革与高质量发展提升项目实施方案（2026</w:t>
      </w:r>
      <w:r>
        <w:rPr>
          <w:rFonts w:hint="default" w:ascii="Times New Roman" w:hAnsi="Times New Roman" w:eastAsia="方正小标宋简体" w:cs="Times New Roman"/>
          <w:sz w:val="44"/>
          <w:szCs w:val="44"/>
          <w:highlight w:val="none"/>
          <w:lang w:eastAsia="zh-CN"/>
        </w:rPr>
        <w:t>—</w:t>
      </w:r>
      <w:r>
        <w:rPr>
          <w:rFonts w:hint="default" w:ascii="Times New Roman" w:hAnsi="Times New Roman" w:eastAsia="方正小标宋简体" w:cs="Times New Roman"/>
          <w:sz w:val="44"/>
          <w:szCs w:val="44"/>
          <w:highlight w:val="none"/>
        </w:rPr>
        <w:t>2027年）》的通知</w:t>
      </w:r>
    </w:p>
    <w:p w14:paraId="4BCE4C20">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32"/>
          <w:szCs w:val="32"/>
          <w:highlight w:val="none"/>
        </w:rPr>
      </w:pPr>
    </w:p>
    <w:p w14:paraId="09F2ED5A">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sz w:val="32"/>
          <w:szCs w:val="32"/>
          <w:highlight w:val="none"/>
        </w:rPr>
        <w:t>各</w:t>
      </w:r>
      <w:r>
        <w:rPr>
          <w:rFonts w:hint="default" w:ascii="Times New Roman" w:hAnsi="Times New Roman" w:eastAsia="仿宋_GB2312" w:cs="Times New Roman"/>
          <w:sz w:val="32"/>
          <w:szCs w:val="32"/>
          <w:highlight w:val="none"/>
          <w:lang w:val="en-US" w:eastAsia="zh-CN"/>
        </w:rPr>
        <w:t>苏木镇</w:t>
      </w:r>
      <w:r>
        <w:rPr>
          <w:rFonts w:hint="default" w:ascii="Times New Roman" w:hAnsi="Times New Roman" w:eastAsia="仿宋_GB2312" w:cs="Times New Roman"/>
          <w:sz w:val="32"/>
          <w:szCs w:val="32"/>
          <w:highlight w:val="none"/>
        </w:rPr>
        <w:t>人民政府，</w:t>
      </w:r>
      <w:r>
        <w:rPr>
          <w:rFonts w:hint="default" w:ascii="Times New Roman" w:hAnsi="Times New Roman" w:eastAsia="仿宋_GB2312" w:cs="Times New Roman"/>
          <w:sz w:val="32"/>
          <w:szCs w:val="32"/>
          <w:highlight w:val="none"/>
          <w:lang w:val="en-US" w:eastAsia="zh-CN"/>
        </w:rPr>
        <w:t>各旗直相关单位：</w:t>
      </w:r>
    </w:p>
    <w:p w14:paraId="73C8B13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rPr>
        <w:t>为扎实推进医药卫生体制改革，系统推进落实</w:t>
      </w:r>
      <w:r>
        <w:rPr>
          <w:rFonts w:hint="default" w:ascii="Times New Roman" w:hAnsi="Times New Roman" w:eastAsia="仿宋_GB2312" w:cs="Times New Roman"/>
          <w:sz w:val="32"/>
          <w:szCs w:val="32"/>
          <w:highlight w:val="none"/>
          <w:lang w:val="en-US" w:eastAsia="zh-CN"/>
        </w:rPr>
        <w:t>乌拉特后旗</w:t>
      </w:r>
      <w:r>
        <w:rPr>
          <w:rFonts w:hint="default" w:ascii="Times New Roman" w:hAnsi="Times New Roman" w:eastAsia="仿宋_GB2312" w:cs="Times New Roman"/>
          <w:sz w:val="32"/>
          <w:szCs w:val="32"/>
          <w:highlight w:val="none"/>
        </w:rPr>
        <w:t>中央财政支持公立医院改革与高质量发展提升项目工作，</w:t>
      </w:r>
      <w:r>
        <w:rPr>
          <w:rFonts w:hint="default" w:ascii="Times New Roman" w:hAnsi="Times New Roman" w:eastAsia="仿宋_GB2312" w:cs="Times New Roman"/>
          <w:sz w:val="32"/>
          <w:szCs w:val="32"/>
          <w:highlight w:val="none"/>
          <w:lang w:val="en-US" w:eastAsia="zh-CN"/>
        </w:rPr>
        <w:t>结合我旗实际</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highlight w:val="none"/>
          <w:lang w:val="en-US" w:eastAsia="zh-CN"/>
        </w:rPr>
        <w:t>制定</w:t>
      </w:r>
      <w:r>
        <w:rPr>
          <w:rFonts w:hint="default" w:ascii="Times New Roman" w:hAnsi="Times New Roman" w:eastAsia="仿宋_GB2312" w:cs="Times New Roman"/>
          <w:sz w:val="32"/>
          <w:szCs w:val="32"/>
          <w:highlight w:val="none"/>
        </w:rPr>
        <w:t>《乌拉特后旗中央财政支持公立医院改革与高质量发展提升项目实施方案（2026</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2027年）》</w:t>
      </w:r>
      <w:r>
        <w:rPr>
          <w:rFonts w:hint="default" w:ascii="Times New Roman" w:hAnsi="Times New Roman" w:eastAsia="仿宋_GB2312" w:cs="Times New Roman"/>
          <w:sz w:val="32"/>
          <w:szCs w:val="32"/>
          <w:highlight w:val="none"/>
          <w:lang w:val="en-US" w:eastAsia="zh-CN"/>
        </w:rPr>
        <w:t>及推进机制</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现随文印发，请遵照执行。</w:t>
      </w:r>
    </w:p>
    <w:p w14:paraId="14F22F9A">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32"/>
          <w:szCs w:val="32"/>
          <w:highlight w:val="none"/>
          <w:lang w:val="en-US" w:eastAsia="zh-CN"/>
        </w:rPr>
      </w:pPr>
    </w:p>
    <w:p w14:paraId="5B7EA6E3">
      <w:pPr>
        <w:keepNext w:val="0"/>
        <w:keepLines w:val="0"/>
        <w:pageBreakBefore w:val="0"/>
        <w:widowControl w:val="0"/>
        <w:kinsoku/>
        <w:wordWrap/>
        <w:overflowPunct/>
        <w:topLinePunct w:val="0"/>
        <w:autoSpaceDE/>
        <w:autoSpaceDN/>
        <w:bidi w:val="0"/>
        <w:adjustRightInd/>
        <w:snapToGrid/>
        <w:spacing w:line="560" w:lineRule="exact"/>
        <w:ind w:left="1678" w:leftChars="304" w:hanging="1040" w:hangingChars="325"/>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附件：</w:t>
      </w:r>
    </w:p>
    <w:p w14:paraId="426701CA">
      <w:pPr>
        <w:keepNext w:val="0"/>
        <w:keepLines w:val="0"/>
        <w:pageBreakBefore w:val="0"/>
        <w:widowControl w:val="0"/>
        <w:kinsoku/>
        <w:wordWrap/>
        <w:overflowPunct/>
        <w:topLinePunct w:val="0"/>
        <w:autoSpaceDE/>
        <w:autoSpaceDN/>
        <w:bidi w:val="0"/>
        <w:adjustRightInd/>
        <w:snapToGrid/>
        <w:spacing w:line="560" w:lineRule="exact"/>
        <w:ind w:left="1755" w:leftChars="714" w:hanging="256" w:hangingChars="8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1.</w:t>
      </w:r>
      <w:r>
        <w:rPr>
          <w:rFonts w:hint="default" w:ascii="Times New Roman" w:hAnsi="Times New Roman" w:eastAsia="仿宋_GB2312" w:cs="Times New Roman"/>
          <w:sz w:val="32"/>
          <w:szCs w:val="32"/>
          <w:highlight w:val="none"/>
        </w:rPr>
        <w:t>乌拉特后旗中央财政支持公立医院改革与高质量发展提升项目实施方案（2026</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2027年）</w:t>
      </w:r>
    </w:p>
    <w:p w14:paraId="63C1BAE7">
      <w:pPr>
        <w:keepNext w:val="0"/>
        <w:keepLines w:val="0"/>
        <w:pageBreakBefore w:val="0"/>
        <w:widowControl w:val="0"/>
        <w:kinsoku/>
        <w:wordWrap/>
        <w:overflowPunct/>
        <w:topLinePunct w:val="0"/>
        <w:autoSpaceDE/>
        <w:autoSpaceDN/>
        <w:bidi w:val="0"/>
        <w:adjustRightInd/>
        <w:snapToGrid/>
        <w:spacing w:line="560" w:lineRule="exact"/>
        <w:ind w:left="1755" w:leftChars="714" w:hanging="256" w:hangingChars="8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2.乌拉特后旗</w:t>
      </w:r>
      <w:r>
        <w:rPr>
          <w:rFonts w:hint="default" w:ascii="Times New Roman" w:hAnsi="Times New Roman" w:eastAsia="仿宋_GB2312" w:cs="Times New Roman"/>
          <w:sz w:val="32"/>
          <w:szCs w:val="32"/>
          <w:highlight w:val="none"/>
        </w:rPr>
        <w:t>中央财政支持公立医院改革与高质量发展</w:t>
      </w:r>
      <w:r>
        <w:rPr>
          <w:rFonts w:hint="default" w:ascii="Times New Roman" w:hAnsi="Times New Roman" w:eastAsia="仿宋_GB2312" w:cs="Times New Roman"/>
          <w:sz w:val="32"/>
          <w:szCs w:val="32"/>
          <w:highlight w:val="none"/>
          <w:lang w:eastAsia="zh-CN"/>
        </w:rPr>
        <w:t>提升项目</w:t>
      </w:r>
      <w:r>
        <w:rPr>
          <w:rFonts w:hint="default" w:ascii="Times New Roman" w:hAnsi="Times New Roman" w:eastAsia="仿宋_GB2312" w:cs="Times New Roman"/>
          <w:sz w:val="32"/>
          <w:szCs w:val="32"/>
          <w:highlight w:val="none"/>
          <w:lang w:val="en-US" w:eastAsia="zh-CN"/>
        </w:rPr>
        <w:t>工作临时推进机制</w:t>
      </w:r>
    </w:p>
    <w:p w14:paraId="01D3BCAA">
      <w:pPr>
        <w:keepNext w:val="0"/>
        <w:keepLines w:val="0"/>
        <w:pageBreakBefore w:val="0"/>
        <w:widowControl w:val="0"/>
        <w:kinsoku/>
        <w:wordWrap/>
        <w:overflowPunct/>
        <w:topLinePunct w:val="0"/>
        <w:autoSpaceDE/>
        <w:autoSpaceDN/>
        <w:bidi w:val="0"/>
        <w:adjustRightInd/>
        <w:snapToGrid/>
        <w:spacing w:line="560" w:lineRule="exact"/>
        <w:ind w:left="1673" w:leftChars="704" w:hanging="195" w:hangingChars="61"/>
        <w:jc w:val="both"/>
        <w:textAlignment w:val="auto"/>
        <w:rPr>
          <w:rFonts w:hint="default" w:ascii="Times New Roman" w:hAnsi="Times New Roman" w:eastAsia="仿宋_GB2312" w:cs="Times New Roman"/>
          <w:sz w:val="32"/>
          <w:szCs w:val="32"/>
          <w:highlight w:val="none"/>
          <w:lang w:val="en-US" w:eastAsia="zh-CN"/>
        </w:rPr>
      </w:pPr>
    </w:p>
    <w:p w14:paraId="7963C20A">
      <w:pPr>
        <w:keepNext w:val="0"/>
        <w:keepLines w:val="0"/>
        <w:pageBreakBefore w:val="0"/>
        <w:widowControl w:val="0"/>
        <w:kinsoku/>
        <w:wordWrap/>
        <w:overflowPunct/>
        <w:topLinePunct w:val="0"/>
        <w:autoSpaceDE/>
        <w:autoSpaceDN/>
        <w:bidi w:val="0"/>
        <w:adjustRightInd/>
        <w:snapToGrid/>
        <w:spacing w:line="560" w:lineRule="exact"/>
        <w:ind w:left="1673" w:leftChars="704" w:hanging="195" w:hangingChars="61"/>
        <w:jc w:val="both"/>
        <w:textAlignment w:val="auto"/>
        <w:rPr>
          <w:rFonts w:hint="default" w:ascii="Times New Roman" w:hAnsi="Times New Roman" w:eastAsia="仿宋_GB2312" w:cs="Times New Roman"/>
          <w:sz w:val="32"/>
          <w:szCs w:val="32"/>
          <w:highlight w:val="none"/>
          <w:lang w:val="en-US" w:eastAsia="zh-CN"/>
        </w:rPr>
      </w:pPr>
    </w:p>
    <w:p w14:paraId="3E561614">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32"/>
          <w:szCs w:val="32"/>
          <w:highlight w:val="none"/>
          <w:lang w:val="en-US" w:eastAsia="zh-CN"/>
        </w:rPr>
      </w:pPr>
    </w:p>
    <w:p w14:paraId="716A0370">
      <w:pPr>
        <w:keepNext w:val="0"/>
        <w:keepLines w:val="0"/>
        <w:pageBreakBefore w:val="0"/>
        <w:widowControl w:val="0"/>
        <w:kinsoku/>
        <w:wordWrap/>
        <w:overflowPunct/>
        <w:topLinePunct w:val="0"/>
        <w:autoSpaceDE/>
        <w:autoSpaceDN/>
        <w:bidi w:val="0"/>
        <w:adjustRightInd/>
        <w:snapToGrid/>
        <w:spacing w:line="560" w:lineRule="exact"/>
        <w:ind w:firstLine="3520" w:firstLineChars="11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乌拉特后旗人民政府办公室</w:t>
      </w:r>
    </w:p>
    <w:p w14:paraId="74201B64">
      <w:pPr>
        <w:keepNext w:val="0"/>
        <w:keepLines w:val="0"/>
        <w:pageBreakBefore w:val="0"/>
        <w:widowControl w:val="0"/>
        <w:kinsoku/>
        <w:wordWrap/>
        <w:overflowPunct/>
        <w:topLinePunct w:val="0"/>
        <w:autoSpaceDE/>
        <w:autoSpaceDN/>
        <w:bidi w:val="0"/>
        <w:adjustRightInd/>
        <w:snapToGrid/>
        <w:spacing w:line="560" w:lineRule="exact"/>
        <w:ind w:firstLine="4160" w:firstLineChars="13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2026年8月31日</w:t>
      </w:r>
    </w:p>
    <w:p w14:paraId="0B54A9FE">
      <w:pPr>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br w:type="page"/>
      </w:r>
    </w:p>
    <w:p w14:paraId="5FFA4EE1">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附件1</w:t>
      </w:r>
    </w:p>
    <w:p w14:paraId="62EF2D82">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CESI黑体-GB2312" w:hAnsi="CESI黑体-GB2312" w:eastAsia="CESI黑体-GB2312" w:cs="CESI黑体-GB2312"/>
          <w:sz w:val="32"/>
          <w:szCs w:val="32"/>
          <w:lang w:val="en-US" w:eastAsia="zh-CN"/>
        </w:rPr>
      </w:pPr>
    </w:p>
    <w:p w14:paraId="7DD338C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乌拉特后旗中央财政支持公立医院改革</w:t>
      </w:r>
    </w:p>
    <w:p w14:paraId="3577C9C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与高质量发展提升项目实施方案</w:t>
      </w:r>
    </w:p>
    <w:p w14:paraId="3E9BB7D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（2026—2027年）</w:t>
      </w:r>
    </w:p>
    <w:p w14:paraId="732ECC31">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小标宋简体" w:cs="Times New Roman"/>
          <w:sz w:val="44"/>
          <w:szCs w:val="44"/>
        </w:rPr>
      </w:pPr>
    </w:p>
    <w:p w14:paraId="70ED456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为扎实推动我旗公立医院提质升级改革工作落地，严格落实国家卫健委、财政部《关于实施2026年公立医院改革与高质量发展提升项目的通知》（国卫办体改函〔2026〕4号）、自治区卫健委、财政厅《关于开展2026年公立医院改革与高质量发展提升项目竞争性遴选工作的通知》（内卫体改字〔2026〕22号）及巴彦淖尔市市级专项实施方案相关部署，结合我旗医疗卫生资源布局、蒙医药特色服务、基层诊疗服务短板等实际情况，制定本方案。</w:t>
      </w:r>
    </w:p>
    <w:p w14:paraId="3B5EA64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sz w:val="32"/>
          <w:szCs w:val="32"/>
        </w:rPr>
      </w:pPr>
      <w:r>
        <w:rPr>
          <w:rFonts w:hint="eastAsia" w:ascii="Times New Roman" w:hAnsi="Times New Roman" w:eastAsia="黑体" w:cs="Times New Roman"/>
          <w:sz w:val="32"/>
          <w:szCs w:val="32"/>
          <w:lang w:eastAsia="zh-CN"/>
        </w:rPr>
        <w:t>一</w:t>
      </w:r>
      <w:r>
        <w:rPr>
          <w:rFonts w:hint="default" w:ascii="Times New Roman" w:hAnsi="Times New Roman" w:eastAsia="黑体" w:cs="Times New Roman"/>
          <w:sz w:val="32"/>
          <w:szCs w:val="32"/>
        </w:rPr>
        <w:t>、总体要求</w:t>
      </w:r>
    </w:p>
    <w:p w14:paraId="31F888D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全面落实党的二十届四中全会部署，坚守健康优先发展战略定位，立足我旗农牧民就医实际需求，因地制宜转化推广三明医改实践经验，统筹医疗服务、医保保障、医药供给一体化协同治理。以县域紧密型医共体实体化运营为核心抓手，持续推动优质医疗资源向苏木镇、嘎查</w:t>
      </w:r>
      <w:r>
        <w:rPr>
          <w:rFonts w:hint="eastAsia" w:ascii="Times New Roman" w:hAnsi="Times New Roman" w:eastAsia="仿宋_GB2312" w:cs="Times New Roman"/>
          <w:sz w:val="32"/>
          <w:szCs w:val="32"/>
          <w:lang w:eastAsia="zh-CN"/>
        </w:rPr>
        <w:t>村</w:t>
      </w:r>
      <w:r>
        <w:rPr>
          <w:rFonts w:hint="default" w:ascii="Times New Roman" w:hAnsi="Times New Roman" w:eastAsia="仿宋_GB2312" w:cs="Times New Roman"/>
          <w:sz w:val="32"/>
          <w:szCs w:val="32"/>
        </w:rPr>
        <w:t>下沉，逐步搭建层级清晰、分工明确的分级诊疗运行体系。始终坚守公立医院公益属性，统筹推进机构编制、人事管理、薪酬分配配套改革，建立贴合临床岗位价值、兼顾技术劳务贡献的激励分配机制；同步优化医保支付管理、公立医院内部运营管控，构建以临床诊疗服务收益为主体的合理收入结构。以本次项目实施为契机，持续改善全旗各族群众就医体验，稳步提升基层健康服务供给质量，为健康乌拉特后旗建设筑牢医疗卫生保障根基。</w:t>
      </w:r>
    </w:p>
    <w:p w14:paraId="71B0A43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sz w:val="32"/>
          <w:szCs w:val="32"/>
        </w:rPr>
      </w:pPr>
      <w:r>
        <w:rPr>
          <w:rFonts w:hint="eastAsia" w:ascii="Times New Roman" w:hAnsi="Times New Roman" w:eastAsia="黑体" w:cs="Times New Roman"/>
          <w:sz w:val="32"/>
          <w:szCs w:val="32"/>
          <w:lang w:eastAsia="zh-CN"/>
        </w:rPr>
        <w:t>二</w:t>
      </w:r>
      <w:r>
        <w:rPr>
          <w:rFonts w:hint="default" w:ascii="Times New Roman" w:hAnsi="Times New Roman" w:eastAsia="黑体" w:cs="Times New Roman"/>
          <w:sz w:val="32"/>
          <w:szCs w:val="32"/>
        </w:rPr>
        <w:t>、总体目标</w:t>
      </w:r>
    </w:p>
    <w:p w14:paraId="618DA13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依托市级优质医疗资源辐射带动作用，补齐旗、苏木镇两级医疗机构服务短板，实现域内医疗资源扩容增效、布局均衡。健全以县域医共体为载体的分级诊疗运行体系，盘活现有编制资源，充分发挥薪酬制度正向激励效能，全面提升公立医院运营效益与公益服务能力。巩固旗级医院县域诊疗龙头地位，夯实苏木镇卫生院、嘎查</w:t>
      </w:r>
      <w:r>
        <w:rPr>
          <w:rFonts w:hint="eastAsia" w:ascii="Times New Roman" w:hAnsi="Times New Roman" w:eastAsia="仿宋_GB2312" w:cs="Times New Roman"/>
          <w:sz w:val="32"/>
          <w:szCs w:val="32"/>
          <w:lang w:eastAsia="zh-CN"/>
        </w:rPr>
        <w:t>村</w:t>
      </w:r>
      <w:r>
        <w:rPr>
          <w:rFonts w:hint="default" w:ascii="Times New Roman" w:hAnsi="Times New Roman" w:eastAsia="仿宋_GB2312" w:cs="Times New Roman"/>
          <w:sz w:val="32"/>
          <w:szCs w:val="32"/>
        </w:rPr>
        <w:t>卫生室基层健康守门人职能。至2027年末，保质保量完成市级下达各项考核指标：全旗所有公立医院实现收支平衡；公立医院医疗服务收入占医疗总收入比重不低于39%；门诊、住院患者综合满意度稳定在92%以上，医务人员满意度达到88%；基层医疗机构接诊量逐年稳步提升，旗内公立医院检查检验结果互认全覆盖。全域形成就近可及、质量可靠、运行高效的医疗卫生服务格局，实现群众常见病、多发病县域内就近诊疗。</w:t>
      </w:r>
    </w:p>
    <w:p w14:paraId="7561FE5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sz w:val="32"/>
          <w:szCs w:val="32"/>
        </w:rPr>
      </w:pPr>
      <w:r>
        <w:rPr>
          <w:rFonts w:hint="eastAsia" w:ascii="Times New Roman" w:hAnsi="Times New Roman" w:eastAsia="黑体" w:cs="Times New Roman"/>
          <w:sz w:val="32"/>
          <w:szCs w:val="32"/>
          <w:lang w:eastAsia="zh-CN"/>
        </w:rPr>
        <w:t>三</w:t>
      </w:r>
      <w:r>
        <w:rPr>
          <w:rFonts w:hint="default" w:ascii="Times New Roman" w:hAnsi="Times New Roman" w:eastAsia="黑体" w:cs="Times New Roman"/>
          <w:sz w:val="32"/>
          <w:szCs w:val="32"/>
        </w:rPr>
        <w:t>、重点工作任务</w:t>
      </w:r>
    </w:p>
    <w:p w14:paraId="473910E1">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b/>
          <w:bCs/>
          <w:sz w:val="32"/>
          <w:szCs w:val="32"/>
        </w:rPr>
        <w:t>（一）健全统筹推进机制，推动</w:t>
      </w:r>
      <w:r>
        <w:rPr>
          <w:rFonts w:hint="default" w:ascii="Times New Roman" w:hAnsi="Times New Roman" w:eastAsia="楷体_GB2312" w:cs="Times New Roman"/>
          <w:b/>
          <w:bCs/>
          <w:sz w:val="32"/>
          <w:szCs w:val="32"/>
          <w:lang w:eastAsia="zh-CN"/>
        </w:rPr>
        <w:t>“三医”协同</w:t>
      </w:r>
      <w:r>
        <w:rPr>
          <w:rFonts w:hint="default" w:ascii="Times New Roman" w:hAnsi="Times New Roman" w:eastAsia="楷体_GB2312" w:cs="Times New Roman"/>
          <w:b/>
          <w:bCs/>
          <w:sz w:val="32"/>
          <w:szCs w:val="32"/>
        </w:rPr>
        <w:t>改革落地</w:t>
      </w:r>
    </w:p>
    <w:p w14:paraId="34D3B7F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构建旗级领导牵头决策、多部门常态化会商、财政稳定投入三位一体</w:t>
      </w:r>
      <w:r>
        <w:rPr>
          <w:rFonts w:hint="default" w:ascii="Times New Roman" w:hAnsi="Times New Roman" w:eastAsia="仿宋_GB2312" w:cs="Times New Roman"/>
          <w:sz w:val="32"/>
          <w:szCs w:val="32"/>
          <w:lang w:val="en-US" w:eastAsia="zh-CN"/>
        </w:rPr>
        <w:t>推进</w:t>
      </w:r>
      <w:r>
        <w:rPr>
          <w:rFonts w:hint="default" w:ascii="Times New Roman" w:hAnsi="Times New Roman" w:eastAsia="仿宋_GB2312" w:cs="Times New Roman"/>
          <w:sz w:val="32"/>
          <w:szCs w:val="32"/>
        </w:rPr>
        <w:t>工作机制，统一改革目标、打通政策壁垒、联通业务数据、压实行业监管，推动医疗、医保、医药领域改革同步谋划、同步实施。</w:t>
      </w:r>
    </w:p>
    <w:p w14:paraId="742F9558">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b/>
          <w:bCs/>
          <w:sz w:val="32"/>
          <w:szCs w:val="32"/>
          <w:lang w:val="en-US" w:eastAsia="zh-CN"/>
        </w:rPr>
        <w:t>1.</w:t>
      </w:r>
      <w:r>
        <w:rPr>
          <w:rFonts w:hint="default" w:ascii="Times New Roman" w:hAnsi="Times New Roman" w:eastAsia="仿宋_GB2312" w:cs="Times New Roman"/>
          <w:b/>
          <w:bCs/>
          <w:sz w:val="32"/>
          <w:szCs w:val="32"/>
        </w:rPr>
        <w:t>压实党政统筹工作责任。</w:t>
      </w:r>
      <w:r>
        <w:rPr>
          <w:rFonts w:hint="default" w:ascii="Times New Roman" w:hAnsi="Times New Roman" w:eastAsia="仿宋_GB2312" w:cs="Times New Roman"/>
          <w:b w:val="0"/>
          <w:bCs w:val="0"/>
          <w:sz w:val="32"/>
          <w:szCs w:val="32"/>
          <w:lang w:eastAsia="zh-CN"/>
        </w:rPr>
        <w:t>旗委、旗政府</w:t>
      </w:r>
      <w:r>
        <w:rPr>
          <w:rFonts w:hint="default" w:ascii="Times New Roman" w:hAnsi="Times New Roman" w:eastAsia="仿宋_GB2312" w:cs="Times New Roman"/>
          <w:sz w:val="32"/>
          <w:szCs w:val="32"/>
        </w:rPr>
        <w:t>主要领导对医改工作负总责，统筹调度本次中央财政专项项目全流程实施；明确1名旗级政府领导统一分管医疗、医保、医药相关工作，统筹协调编制人事薪酬调整、</w:t>
      </w:r>
      <w:r>
        <w:rPr>
          <w:rFonts w:hint="default" w:ascii="Times New Roman" w:hAnsi="Times New Roman" w:eastAsia="仿宋_GB2312" w:cs="Times New Roman"/>
          <w:sz w:val="32"/>
          <w:szCs w:val="32"/>
          <w:lang w:eastAsia="zh-CN"/>
        </w:rPr>
        <w:t>医保支付方式改革</w:t>
      </w:r>
      <w:r>
        <w:rPr>
          <w:rFonts w:hint="default" w:ascii="Times New Roman" w:hAnsi="Times New Roman" w:eastAsia="仿宋_GB2312" w:cs="Times New Roman"/>
          <w:sz w:val="32"/>
          <w:szCs w:val="32"/>
        </w:rPr>
        <w:t>、医疗卫生服务体系提质等跨领域工作，形成</w:t>
      </w:r>
      <w:r>
        <w:rPr>
          <w:rFonts w:hint="default" w:ascii="Times New Roman" w:hAnsi="Times New Roman" w:eastAsia="仿宋_GB2312" w:cs="Times New Roman"/>
          <w:sz w:val="32"/>
          <w:szCs w:val="32"/>
          <w:lang w:val="en-US" w:eastAsia="zh-CN"/>
        </w:rPr>
        <w:t>党政</w:t>
      </w:r>
      <w:r>
        <w:rPr>
          <w:rFonts w:hint="default" w:ascii="Times New Roman" w:hAnsi="Times New Roman" w:eastAsia="仿宋_GB2312" w:cs="Times New Roman"/>
          <w:sz w:val="32"/>
          <w:szCs w:val="32"/>
        </w:rPr>
        <w:t>统筹、部门协同、闭环落实的医改工作运行模式。</w:t>
      </w:r>
    </w:p>
    <w:p w14:paraId="71AD0A43">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b/>
          <w:bCs/>
          <w:sz w:val="32"/>
          <w:szCs w:val="32"/>
          <w:lang w:val="en-US" w:eastAsia="zh-CN"/>
        </w:rPr>
        <w:t>2.</w:t>
      </w:r>
      <w:r>
        <w:rPr>
          <w:rFonts w:hint="default" w:ascii="Times New Roman" w:hAnsi="Times New Roman" w:eastAsia="仿宋_GB2312" w:cs="Times New Roman"/>
          <w:b/>
          <w:bCs/>
          <w:sz w:val="32"/>
          <w:szCs w:val="32"/>
        </w:rPr>
        <w:t>建立跨部门会商研判制度。</w:t>
      </w:r>
      <w:r>
        <w:rPr>
          <w:rFonts w:hint="default" w:ascii="Times New Roman" w:hAnsi="Times New Roman" w:eastAsia="仿宋_GB2312" w:cs="Times New Roman"/>
          <w:sz w:val="32"/>
          <w:szCs w:val="32"/>
        </w:rPr>
        <w:t>对标市级“三医六方”联动改革工作机制，搭建旗级常态化部门会商平台，打通卫健、医保、财政、编办、人社数据共享通道，定期研判改革推进过程中的堵点、难点事项。对照市级改革任务清单，结合</w:t>
      </w:r>
      <w:r>
        <w:rPr>
          <w:rFonts w:hint="eastAsia" w:ascii="Times New Roman" w:hAnsi="Times New Roman" w:eastAsia="仿宋_GB2312" w:cs="Times New Roman"/>
          <w:sz w:val="32"/>
          <w:szCs w:val="32"/>
          <w:lang w:eastAsia="zh-CN"/>
        </w:rPr>
        <w:t>农村</w:t>
      </w:r>
      <w:r>
        <w:rPr>
          <w:rFonts w:hint="default" w:ascii="Times New Roman" w:hAnsi="Times New Roman" w:eastAsia="仿宋_GB2312" w:cs="Times New Roman"/>
          <w:sz w:val="32"/>
          <w:szCs w:val="32"/>
        </w:rPr>
        <w:t>牧区就医特征细化年度工作台账，实行清单化管理、节点化推进，确保各项改革举措落地落细。</w:t>
      </w:r>
    </w:p>
    <w:p w14:paraId="4CC393C5">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b/>
          <w:bCs/>
          <w:sz w:val="32"/>
          <w:szCs w:val="32"/>
          <w:lang w:val="en-US" w:eastAsia="zh-CN"/>
        </w:rPr>
        <w:t>3.</w:t>
      </w:r>
      <w:r>
        <w:rPr>
          <w:rFonts w:hint="default" w:ascii="Times New Roman" w:hAnsi="Times New Roman" w:eastAsia="仿宋_GB2312" w:cs="Times New Roman"/>
          <w:b/>
          <w:bCs/>
          <w:sz w:val="32"/>
          <w:szCs w:val="32"/>
        </w:rPr>
        <w:t>压实政府办医主体责任。</w:t>
      </w:r>
      <w:r>
        <w:rPr>
          <w:rFonts w:hint="default" w:ascii="Times New Roman" w:hAnsi="Times New Roman" w:eastAsia="仿宋_GB2312" w:cs="Times New Roman"/>
          <w:sz w:val="32"/>
          <w:szCs w:val="32"/>
        </w:rPr>
        <w:t>牢牢把握政府在基本医疗、公共卫生服务领域的主导职责，出台适配我旗发展现状的公立医院财政补助实施细则，建立可持续、标准化卫生事业经费保障机制。足额落实公立医院基础设施、设备更新、学科建设、人才培育</w:t>
      </w:r>
      <w:r>
        <w:rPr>
          <w:rFonts w:hint="eastAsia" w:ascii="Times New Roman" w:hAnsi="Times New Roman" w:eastAsia="仿宋_GB2312" w:cs="Times New Roman"/>
          <w:sz w:val="32"/>
          <w:szCs w:val="32"/>
          <w:lang w:eastAsia="zh-CN"/>
        </w:rPr>
        <w:t>等</w:t>
      </w:r>
      <w:r>
        <w:rPr>
          <w:rFonts w:hint="default" w:ascii="Times New Roman" w:hAnsi="Times New Roman" w:eastAsia="仿宋_GB2312" w:cs="Times New Roman"/>
          <w:sz w:val="32"/>
          <w:szCs w:val="32"/>
        </w:rPr>
        <w:t>六项财政投入政策，主动对接上级卫健、财政部门申报医疗机构改造、能力提升类专项项目。2026年重点推进旗人民医院医技楼新建、县域医共体资源共享中心、全旗医疗服务能力提升三类民生项目申报实施，通过硬件升级、设备补充、技术引进，缓解公立医疗机构运营压力，全面提升临床诊疗服务水平。</w:t>
      </w:r>
    </w:p>
    <w:p w14:paraId="1F39D63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b/>
          <w:bCs/>
          <w:sz w:val="32"/>
          <w:szCs w:val="32"/>
          <w:lang w:val="en-US" w:eastAsia="zh-CN"/>
        </w:rPr>
      </w:pPr>
      <w:r>
        <w:rPr>
          <w:rFonts w:hint="eastAsia" w:ascii="黑体" w:hAnsi="黑体" w:eastAsia="黑体" w:cs="黑体"/>
          <w:b w:val="0"/>
          <w:bCs w:val="0"/>
          <w:sz w:val="32"/>
          <w:szCs w:val="32"/>
        </w:rPr>
        <w:t>牵头单位：</w:t>
      </w:r>
      <w:r>
        <w:rPr>
          <w:rFonts w:hint="eastAsia" w:ascii="楷体_GB2312" w:hAnsi="楷体_GB2312" w:eastAsia="楷体_GB2312" w:cs="楷体_GB2312"/>
          <w:b w:val="0"/>
          <w:bCs w:val="0"/>
          <w:sz w:val="32"/>
          <w:szCs w:val="32"/>
        </w:rPr>
        <w:t>旗政府</w:t>
      </w:r>
      <w:r>
        <w:rPr>
          <w:rFonts w:hint="eastAsia" w:ascii="楷体_GB2312" w:hAnsi="楷体_GB2312" w:eastAsia="楷体_GB2312" w:cs="楷体_GB2312"/>
          <w:b w:val="0"/>
          <w:bCs w:val="0"/>
          <w:sz w:val="32"/>
          <w:szCs w:val="32"/>
          <w:lang w:val="en-US" w:eastAsia="zh-CN"/>
        </w:rPr>
        <w:t>办</w:t>
      </w:r>
    </w:p>
    <w:p w14:paraId="54520D9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bCs/>
          <w:sz w:val="32"/>
          <w:szCs w:val="32"/>
        </w:rPr>
      </w:pPr>
      <w:r>
        <w:rPr>
          <w:rFonts w:hint="default" w:ascii="黑体" w:hAnsi="黑体" w:eastAsia="黑体" w:cs="黑体"/>
          <w:b w:val="0"/>
          <w:bCs w:val="0"/>
          <w:sz w:val="32"/>
          <w:szCs w:val="32"/>
        </w:rPr>
        <w:t>责任单位：</w:t>
      </w:r>
      <w:r>
        <w:rPr>
          <w:rFonts w:hint="default" w:ascii="楷体_GB2312" w:hAnsi="楷体_GB2312" w:eastAsia="楷体_GB2312" w:cs="楷体_GB2312"/>
          <w:b w:val="0"/>
          <w:bCs w:val="0"/>
          <w:sz w:val="32"/>
          <w:szCs w:val="32"/>
        </w:rPr>
        <w:t>旗委编办</w:t>
      </w:r>
      <w:r>
        <w:rPr>
          <w:rFonts w:hint="eastAsia" w:ascii="楷体_GB2312" w:hAnsi="楷体_GB2312" w:eastAsia="楷体_GB2312" w:cs="楷体_GB2312"/>
          <w:b w:val="0"/>
          <w:bCs w:val="0"/>
          <w:sz w:val="32"/>
          <w:szCs w:val="32"/>
          <w:lang w:eastAsia="zh-CN"/>
        </w:rPr>
        <w:t>，</w:t>
      </w:r>
      <w:r>
        <w:rPr>
          <w:rFonts w:hint="eastAsia" w:ascii="楷体_GB2312" w:hAnsi="楷体_GB2312" w:eastAsia="楷体_GB2312" w:cs="楷体_GB2312"/>
          <w:b w:val="0"/>
          <w:bCs w:val="0"/>
          <w:sz w:val="32"/>
          <w:szCs w:val="32"/>
          <w:lang w:val="en-US" w:eastAsia="zh-CN"/>
        </w:rPr>
        <w:t>旗</w:t>
      </w:r>
      <w:r>
        <w:rPr>
          <w:rFonts w:hint="default" w:ascii="楷体_GB2312" w:hAnsi="楷体_GB2312" w:eastAsia="楷体_GB2312" w:cs="楷体_GB2312"/>
          <w:b w:val="0"/>
          <w:bCs w:val="0"/>
          <w:sz w:val="32"/>
          <w:szCs w:val="32"/>
        </w:rPr>
        <w:t>发改委、财政局、人社局、市监局、卫健委、医保局</w:t>
      </w:r>
    </w:p>
    <w:p w14:paraId="4578067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楷体_GB2312" w:hAnsi="楷体_GB2312" w:eastAsia="楷体_GB2312" w:cs="楷体_GB2312"/>
          <w:b w:val="0"/>
          <w:bCs w:val="0"/>
          <w:sz w:val="32"/>
          <w:szCs w:val="32"/>
        </w:rPr>
      </w:pPr>
      <w:r>
        <w:rPr>
          <w:rFonts w:hint="default" w:ascii="黑体" w:hAnsi="黑体" w:eastAsia="黑体" w:cs="黑体"/>
          <w:b w:val="0"/>
          <w:bCs w:val="0"/>
          <w:sz w:val="32"/>
          <w:szCs w:val="32"/>
        </w:rPr>
        <w:t>实施单位：</w:t>
      </w:r>
      <w:r>
        <w:rPr>
          <w:rFonts w:hint="default" w:ascii="楷体_GB2312" w:hAnsi="楷体_GB2312" w:eastAsia="楷体_GB2312" w:cs="楷体_GB2312"/>
          <w:b w:val="0"/>
          <w:bCs w:val="0"/>
          <w:sz w:val="32"/>
          <w:szCs w:val="32"/>
        </w:rPr>
        <w:t>全旗各公立医疗机构</w:t>
      </w:r>
    </w:p>
    <w:p w14:paraId="52212812">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b/>
          <w:bCs/>
          <w:sz w:val="32"/>
          <w:szCs w:val="32"/>
        </w:rPr>
        <w:t>（二）优化域内医疗资源布局，完善县域分级诊疗体系</w:t>
      </w:r>
    </w:p>
    <w:p w14:paraId="16504E4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以诊疗服务提质增效为核心导向，针对性补齐我旗医疗资源薄弱环节，做实紧密型县域医共体一体化运营，分层补齐旗级医院、基层卫生室服务短板。依托医共体总院专家下沉、双向转诊机制，同步提升苏木</w:t>
      </w:r>
      <w:r>
        <w:rPr>
          <w:rFonts w:hint="eastAsia" w:ascii="Times New Roman" w:hAnsi="Times New Roman" w:eastAsia="仿宋_GB2312" w:cs="Times New Roman"/>
          <w:sz w:val="32"/>
          <w:szCs w:val="32"/>
          <w:lang w:eastAsia="zh-CN"/>
        </w:rPr>
        <w:t>镇</w:t>
      </w:r>
      <w:r>
        <w:rPr>
          <w:rFonts w:hint="default" w:ascii="Times New Roman" w:hAnsi="Times New Roman" w:eastAsia="仿宋_GB2312" w:cs="Times New Roman"/>
          <w:sz w:val="32"/>
          <w:szCs w:val="32"/>
        </w:rPr>
        <w:t>、嘎查</w:t>
      </w:r>
      <w:r>
        <w:rPr>
          <w:rFonts w:hint="eastAsia" w:ascii="Times New Roman" w:hAnsi="Times New Roman" w:eastAsia="仿宋_GB2312" w:cs="Times New Roman"/>
          <w:sz w:val="32"/>
          <w:szCs w:val="32"/>
          <w:lang w:eastAsia="zh-CN"/>
        </w:rPr>
        <w:t>村</w:t>
      </w:r>
      <w:r>
        <w:rPr>
          <w:rFonts w:hint="default" w:ascii="Times New Roman" w:hAnsi="Times New Roman" w:eastAsia="仿宋_GB2312" w:cs="Times New Roman"/>
          <w:sz w:val="32"/>
          <w:szCs w:val="32"/>
        </w:rPr>
        <w:t>两级基础诊疗能力，搭建整合型全域医疗卫生服务网络，按期完成市级下达专科建设、基层就诊占比等硬性指标。</w:t>
      </w:r>
    </w:p>
    <w:p w14:paraId="0FD850A1">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b/>
          <w:bCs/>
          <w:sz w:val="32"/>
          <w:szCs w:val="32"/>
          <w:lang w:val="en-US" w:eastAsia="zh-CN"/>
        </w:rPr>
        <w:t>4.</w:t>
      </w:r>
      <w:r>
        <w:rPr>
          <w:rFonts w:hint="default" w:ascii="Times New Roman" w:hAnsi="Times New Roman" w:eastAsia="仿宋_GB2312" w:cs="Times New Roman"/>
          <w:b/>
          <w:bCs/>
          <w:sz w:val="32"/>
          <w:szCs w:val="32"/>
        </w:rPr>
        <w:t>提升旗级综合医院专科诊疗能力。</w:t>
      </w:r>
      <w:r>
        <w:rPr>
          <w:rFonts w:hint="default" w:ascii="Times New Roman" w:hAnsi="Times New Roman" w:eastAsia="仿宋_GB2312" w:cs="Times New Roman"/>
          <w:sz w:val="32"/>
          <w:szCs w:val="32"/>
        </w:rPr>
        <w:t>以旗人民医院为核心载体，针对我旗群众高发、外出转诊集中的心脑血管、恶性肿瘤等疾病，分类打造5个特色临床专科，强化创伤急救、康复理疗、麻醉、外周血管、消化内镜等关键领域救治能力。结合旗人民医院、蒙医医院、妇幼保健机构功能定位，按照差异化、互补化建设思路，重点升级重症医学、创伤救治、卒中、呼吸危重症、普通外科、微创外科、心血管、眼科等12类临床专科；同步补齐儿科、精神卫生服务短板，积极争创市一级临床重点专科，持续提升</w:t>
      </w:r>
      <w:r>
        <w:rPr>
          <w:rFonts w:hint="eastAsia" w:ascii="Times New Roman" w:hAnsi="Times New Roman" w:eastAsia="仿宋_GB2312" w:cs="Times New Roman"/>
          <w:sz w:val="32"/>
          <w:szCs w:val="32"/>
          <w:lang w:eastAsia="zh-CN"/>
        </w:rPr>
        <w:t>旗</w:t>
      </w:r>
      <w:r>
        <w:rPr>
          <w:rFonts w:hint="default" w:ascii="Times New Roman" w:hAnsi="Times New Roman" w:eastAsia="仿宋_GB2312" w:cs="Times New Roman"/>
          <w:sz w:val="32"/>
          <w:szCs w:val="32"/>
        </w:rPr>
        <w:t>域内常见病、多发病就地诊疗比例。</w:t>
      </w:r>
    </w:p>
    <w:p w14:paraId="3704D806">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b/>
          <w:bCs/>
          <w:sz w:val="32"/>
          <w:szCs w:val="32"/>
          <w:lang w:val="en-US" w:eastAsia="zh-CN"/>
        </w:rPr>
        <w:t>5.</w:t>
      </w:r>
      <w:r>
        <w:rPr>
          <w:rFonts w:hint="default" w:ascii="Times New Roman" w:hAnsi="Times New Roman" w:eastAsia="仿宋_GB2312" w:cs="Times New Roman"/>
          <w:b/>
          <w:bCs/>
          <w:sz w:val="32"/>
          <w:szCs w:val="32"/>
        </w:rPr>
        <w:t>打造特色蒙医药康复服务体系。</w:t>
      </w:r>
      <w:r>
        <w:rPr>
          <w:rFonts w:hint="default" w:ascii="Times New Roman" w:hAnsi="Times New Roman" w:eastAsia="仿宋_GB2312" w:cs="Times New Roman"/>
          <w:sz w:val="32"/>
          <w:szCs w:val="32"/>
        </w:rPr>
        <w:t>立足蒙医药在慢性病调理、骨关节及外伤康复领域独特优势，以旗蒙医医院为核心打造蒙医康复特色专科，标准化推广蒙医传统康复诊疗方案。对照市级建设要求，分步搭建蒙医康复、心病、治未病、神志病、老年病等特色专科；深化与</w:t>
      </w:r>
      <w:r>
        <w:rPr>
          <w:rFonts w:hint="eastAsia" w:ascii="Times New Roman" w:hAnsi="Times New Roman" w:eastAsia="仿宋_GB2312" w:cs="Times New Roman"/>
          <w:sz w:val="32"/>
          <w:szCs w:val="32"/>
          <w:lang w:eastAsia="zh-CN"/>
        </w:rPr>
        <w:t>内蒙古</w:t>
      </w:r>
      <w:r>
        <w:rPr>
          <w:rFonts w:hint="default" w:ascii="Times New Roman" w:hAnsi="Times New Roman" w:eastAsia="仿宋_GB2312" w:cs="Times New Roman"/>
          <w:sz w:val="32"/>
          <w:szCs w:val="32"/>
        </w:rPr>
        <w:t>国际蒙医医院、巴彦淖尔市蒙医医院长期协作帮扶机制，引进规范化蒙医特色诊疗技术。同步推动蒙医康复服务向基层延伸，由旗蒙医医院向各苏木镇卫生院、嘎查</w:t>
      </w:r>
      <w:r>
        <w:rPr>
          <w:rFonts w:hint="eastAsia" w:ascii="Times New Roman" w:hAnsi="Times New Roman" w:eastAsia="仿宋_GB2312" w:cs="Times New Roman"/>
          <w:sz w:val="32"/>
          <w:szCs w:val="32"/>
          <w:lang w:eastAsia="zh-CN"/>
        </w:rPr>
        <w:t>村</w:t>
      </w:r>
      <w:r>
        <w:rPr>
          <w:rFonts w:hint="default" w:ascii="Times New Roman" w:hAnsi="Times New Roman" w:eastAsia="仿宋_GB2312" w:cs="Times New Roman"/>
          <w:sz w:val="32"/>
          <w:szCs w:val="32"/>
        </w:rPr>
        <w:t>卫生室下沉特色疗术，力争2027年末旗域蒙医康复服务基层覆盖率达到80%以上。</w:t>
      </w:r>
    </w:p>
    <w:p w14:paraId="1B9C75F8">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b/>
          <w:bCs/>
          <w:sz w:val="32"/>
          <w:szCs w:val="32"/>
          <w:lang w:val="en-US" w:eastAsia="zh-CN"/>
        </w:rPr>
        <w:t>6.</w:t>
      </w:r>
      <w:r>
        <w:rPr>
          <w:rFonts w:hint="default" w:ascii="Times New Roman" w:hAnsi="Times New Roman" w:eastAsia="仿宋_GB2312" w:cs="Times New Roman"/>
          <w:b/>
          <w:bCs/>
          <w:sz w:val="32"/>
          <w:szCs w:val="32"/>
        </w:rPr>
        <w:t>深化县域紧密型医共体实体化运营。</w:t>
      </w:r>
      <w:r>
        <w:rPr>
          <w:rFonts w:hint="default" w:ascii="Times New Roman" w:hAnsi="Times New Roman" w:eastAsia="仿宋_GB2312" w:cs="Times New Roman"/>
          <w:sz w:val="32"/>
          <w:szCs w:val="32"/>
        </w:rPr>
        <w:t>全面落实市级医共体建设标准，推行人员、业务、药品、财务、信息、设备、绩效“七统一”一体化管理模式，理顺医共体管理架构与运行机制。升级医共体信息平台，打通业务协同、数据共享通道，做实双向转诊服务窗口、联合门诊运行；标准化建设中心药房、集中审方中心，放大检验、影像、心电、病理、消毒供应五大资源共享中心运行效能；配套搭建医共体人才培育、全民健康管理两大分中心，构建筛查、预防、诊断、治疗、康复、长期健康管理全链条服务模式。持续推行基层采样、旗级诊断、检查结果全域互认工作机制；主动对接市级城市医疗集团，承接优质专家号源、定点驻院帮扶资源，实现市、旗、基层三级医疗资源互通共享。</w:t>
      </w:r>
    </w:p>
    <w:p w14:paraId="2C62446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bCs/>
          <w:sz w:val="32"/>
          <w:szCs w:val="32"/>
        </w:rPr>
      </w:pPr>
      <w:r>
        <w:rPr>
          <w:rFonts w:hint="default" w:ascii="黑体" w:hAnsi="黑体" w:eastAsia="黑体" w:cs="黑体"/>
          <w:b w:val="0"/>
          <w:bCs w:val="0"/>
          <w:sz w:val="32"/>
          <w:szCs w:val="32"/>
        </w:rPr>
        <w:t>牵头单位：</w:t>
      </w:r>
      <w:r>
        <w:rPr>
          <w:rFonts w:hint="default" w:ascii="楷体_GB2312" w:hAnsi="楷体_GB2312" w:eastAsia="楷体_GB2312" w:cs="楷体_GB2312"/>
          <w:b w:val="0"/>
          <w:bCs w:val="0"/>
          <w:sz w:val="32"/>
          <w:szCs w:val="32"/>
        </w:rPr>
        <w:t>旗卫健委</w:t>
      </w:r>
    </w:p>
    <w:p w14:paraId="4D00070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bCs/>
          <w:sz w:val="32"/>
          <w:szCs w:val="32"/>
        </w:rPr>
      </w:pPr>
      <w:r>
        <w:rPr>
          <w:rFonts w:hint="default" w:ascii="黑体" w:hAnsi="黑体" w:eastAsia="黑体" w:cs="黑体"/>
          <w:b w:val="0"/>
          <w:bCs w:val="0"/>
          <w:sz w:val="32"/>
          <w:szCs w:val="32"/>
        </w:rPr>
        <w:t>责任单位：</w:t>
      </w:r>
      <w:r>
        <w:rPr>
          <w:rFonts w:hint="eastAsia" w:ascii="楷体_GB2312" w:hAnsi="楷体_GB2312" w:eastAsia="楷体_GB2312" w:cs="楷体_GB2312"/>
          <w:b w:val="0"/>
          <w:bCs w:val="0"/>
          <w:sz w:val="32"/>
          <w:szCs w:val="32"/>
          <w:lang w:val="en-US" w:eastAsia="zh-CN"/>
        </w:rPr>
        <w:t>旗</w:t>
      </w:r>
      <w:r>
        <w:rPr>
          <w:rFonts w:hint="default" w:ascii="楷体_GB2312" w:hAnsi="楷体_GB2312" w:eastAsia="楷体_GB2312" w:cs="楷体_GB2312"/>
          <w:b w:val="0"/>
          <w:bCs w:val="0"/>
          <w:sz w:val="32"/>
          <w:szCs w:val="32"/>
        </w:rPr>
        <w:t>医保局</w:t>
      </w:r>
    </w:p>
    <w:p w14:paraId="4AC09CE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bCs/>
          <w:sz w:val="32"/>
          <w:szCs w:val="32"/>
        </w:rPr>
      </w:pPr>
      <w:r>
        <w:rPr>
          <w:rFonts w:hint="default" w:ascii="黑体" w:hAnsi="黑体" w:eastAsia="黑体" w:cs="黑体"/>
          <w:b w:val="0"/>
          <w:bCs w:val="0"/>
          <w:sz w:val="32"/>
          <w:szCs w:val="32"/>
        </w:rPr>
        <w:t>实施单位：</w:t>
      </w:r>
      <w:r>
        <w:rPr>
          <w:rFonts w:hint="default" w:ascii="楷体_GB2312" w:hAnsi="楷体_GB2312" w:eastAsia="楷体_GB2312" w:cs="楷体_GB2312"/>
          <w:b w:val="0"/>
          <w:bCs w:val="0"/>
          <w:sz w:val="32"/>
          <w:szCs w:val="32"/>
        </w:rPr>
        <w:t>旗人民医院、蒙医医院</w:t>
      </w:r>
      <w:r>
        <w:rPr>
          <w:rFonts w:hint="eastAsia" w:ascii="楷体_GB2312" w:hAnsi="楷体_GB2312" w:eastAsia="楷体_GB2312" w:cs="楷体_GB2312"/>
          <w:b w:val="0"/>
          <w:bCs w:val="0"/>
          <w:sz w:val="32"/>
          <w:szCs w:val="32"/>
          <w:lang w:eastAsia="zh-CN"/>
        </w:rPr>
        <w:t>，</w:t>
      </w:r>
      <w:r>
        <w:rPr>
          <w:rFonts w:hint="default" w:ascii="楷体_GB2312" w:hAnsi="楷体_GB2312" w:eastAsia="楷体_GB2312" w:cs="楷体_GB2312"/>
          <w:b w:val="0"/>
          <w:bCs w:val="0"/>
          <w:sz w:val="32"/>
          <w:szCs w:val="32"/>
        </w:rPr>
        <w:t>各苏木镇卫生院、嘎查村卫生室</w:t>
      </w:r>
    </w:p>
    <w:p w14:paraId="1096DE7F">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b/>
          <w:bCs/>
          <w:sz w:val="32"/>
          <w:szCs w:val="32"/>
        </w:rPr>
      </w:pPr>
      <w:r>
        <w:rPr>
          <w:rFonts w:hint="default" w:ascii="Times New Roman" w:hAnsi="Times New Roman" w:eastAsia="楷体_GB2312" w:cs="Times New Roman"/>
          <w:b/>
          <w:bCs/>
          <w:sz w:val="32"/>
          <w:szCs w:val="32"/>
        </w:rPr>
        <w:t>（三）深化公立医院综合配套改革，强化机构运营支撑</w:t>
      </w:r>
    </w:p>
    <w:p w14:paraId="7F33B44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从医保支付调整、编制薪酬优化、人才梯队培育、精细化运营管理</w:t>
      </w:r>
      <w:r>
        <w:rPr>
          <w:rFonts w:hint="default" w:ascii="Times New Roman" w:hAnsi="Times New Roman" w:eastAsia="仿宋_GB2312" w:cs="Times New Roman"/>
          <w:sz w:val="32"/>
          <w:szCs w:val="32"/>
          <w:lang w:eastAsia="zh-CN"/>
        </w:rPr>
        <w:t>四个</w:t>
      </w:r>
      <w:r>
        <w:rPr>
          <w:rFonts w:hint="default" w:ascii="Times New Roman" w:hAnsi="Times New Roman" w:eastAsia="仿宋_GB2312" w:cs="Times New Roman"/>
          <w:sz w:val="32"/>
          <w:szCs w:val="32"/>
        </w:rPr>
        <w:t>方面同步发力，完善公立医院高质量发展配套政策支撑，确保收支管控、运营成本等市级考核指标全部达标。</w:t>
      </w:r>
    </w:p>
    <w:p w14:paraId="23EC196F">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b/>
          <w:bCs/>
          <w:sz w:val="32"/>
          <w:szCs w:val="32"/>
          <w:lang w:val="en-US" w:eastAsia="zh-CN"/>
        </w:rPr>
        <w:t>7.</w:t>
      </w:r>
      <w:r>
        <w:rPr>
          <w:rFonts w:hint="default" w:ascii="Times New Roman" w:hAnsi="Times New Roman" w:eastAsia="仿宋_GB2312" w:cs="Times New Roman"/>
          <w:b/>
          <w:bCs/>
          <w:sz w:val="32"/>
          <w:szCs w:val="32"/>
        </w:rPr>
        <w:t>推进医保与医疗服务价格协同改革。</w:t>
      </w:r>
      <w:r>
        <w:rPr>
          <w:rFonts w:hint="default" w:ascii="Times New Roman" w:hAnsi="Times New Roman" w:eastAsia="仿宋_GB2312" w:cs="Times New Roman"/>
          <w:sz w:val="32"/>
          <w:szCs w:val="32"/>
        </w:rPr>
        <w:t>全面落实国家、自治区、市级药品耗材集中带量采购相关要求，充分释放集采结余资金激励效应。配合市级建立医疗服务价格动态调整测算、评估、落地机制，按年度完成服务价格优化调整任务。全面落地县域医共体医保总额打包付费模式，引导医疗机构工作重心由单纯疾病治疗转向全周期健康管护。严格执行基层常见病、蒙医特色病种、康复诊疗三类医保付费目录，完善按病种、按住院床日复合付费体系。</w:t>
      </w:r>
    </w:p>
    <w:p w14:paraId="42B8078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bCs/>
          <w:sz w:val="32"/>
          <w:szCs w:val="32"/>
        </w:rPr>
      </w:pPr>
      <w:r>
        <w:rPr>
          <w:rFonts w:hint="default" w:ascii="黑体" w:hAnsi="黑体" w:eastAsia="黑体" w:cs="黑体"/>
          <w:b w:val="0"/>
          <w:bCs w:val="0"/>
          <w:sz w:val="32"/>
          <w:szCs w:val="32"/>
        </w:rPr>
        <w:t>牵头单位：</w:t>
      </w:r>
      <w:r>
        <w:rPr>
          <w:rFonts w:hint="default" w:ascii="楷体_GB2312" w:hAnsi="楷体_GB2312" w:eastAsia="楷体_GB2312" w:cs="楷体_GB2312"/>
          <w:b w:val="0"/>
          <w:bCs w:val="0"/>
          <w:sz w:val="32"/>
          <w:szCs w:val="32"/>
        </w:rPr>
        <w:t>旗医保局</w:t>
      </w:r>
    </w:p>
    <w:p w14:paraId="2602FE2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bCs/>
          <w:sz w:val="32"/>
          <w:szCs w:val="32"/>
        </w:rPr>
      </w:pPr>
      <w:r>
        <w:rPr>
          <w:rFonts w:hint="default" w:ascii="黑体" w:hAnsi="黑体" w:eastAsia="黑体" w:cs="黑体"/>
          <w:b w:val="0"/>
          <w:bCs w:val="0"/>
          <w:sz w:val="32"/>
          <w:szCs w:val="32"/>
        </w:rPr>
        <w:t>责任单位：</w:t>
      </w:r>
      <w:r>
        <w:rPr>
          <w:rFonts w:hint="default" w:ascii="楷体_GB2312" w:hAnsi="楷体_GB2312" w:eastAsia="楷体_GB2312" w:cs="楷体_GB2312"/>
          <w:b w:val="0"/>
          <w:bCs w:val="0"/>
          <w:sz w:val="32"/>
          <w:szCs w:val="32"/>
        </w:rPr>
        <w:t>旗卫健委</w:t>
      </w:r>
    </w:p>
    <w:p w14:paraId="2C53052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bCs/>
          <w:sz w:val="32"/>
          <w:szCs w:val="32"/>
        </w:rPr>
      </w:pPr>
      <w:r>
        <w:rPr>
          <w:rFonts w:hint="default" w:ascii="黑体" w:hAnsi="黑体" w:eastAsia="黑体" w:cs="黑体"/>
          <w:b w:val="0"/>
          <w:bCs w:val="0"/>
          <w:sz w:val="32"/>
          <w:szCs w:val="32"/>
        </w:rPr>
        <w:t>实施单位：</w:t>
      </w:r>
      <w:r>
        <w:rPr>
          <w:rFonts w:hint="default" w:ascii="楷体_GB2312" w:hAnsi="楷体_GB2312" w:eastAsia="楷体_GB2312" w:cs="楷体_GB2312"/>
          <w:b w:val="0"/>
          <w:bCs w:val="0"/>
          <w:sz w:val="32"/>
          <w:szCs w:val="32"/>
        </w:rPr>
        <w:t>全旗各公立医院</w:t>
      </w:r>
    </w:p>
    <w:p w14:paraId="4F430F27">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b/>
          <w:bCs/>
          <w:sz w:val="32"/>
          <w:szCs w:val="32"/>
          <w:lang w:val="en-US" w:eastAsia="zh-CN"/>
        </w:rPr>
        <w:t>8.</w:t>
      </w:r>
      <w:r>
        <w:rPr>
          <w:rFonts w:hint="default" w:ascii="Times New Roman" w:hAnsi="Times New Roman" w:eastAsia="仿宋_GB2312" w:cs="Times New Roman"/>
          <w:b/>
          <w:bCs/>
          <w:sz w:val="32"/>
          <w:szCs w:val="32"/>
        </w:rPr>
        <w:t>完善编制与薪酬激励配套政策。</w:t>
      </w:r>
      <w:r>
        <w:rPr>
          <w:rFonts w:hint="default" w:ascii="Times New Roman" w:hAnsi="Times New Roman" w:eastAsia="仿宋_GB2312" w:cs="Times New Roman"/>
          <w:sz w:val="32"/>
          <w:szCs w:val="32"/>
        </w:rPr>
        <w:t>参照市级公立医院人员总量管理办法，结合旗级医院开放床位规模科学核定人员控制数，保障编外控制数人员同等财政补助待遇。常态化开展编制动态调整，优先保障临床一线诊疗岗位用人需求</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rPr>
        <w:t>针对临床高层次紧缺人才采用“面试+综合考察”简化引进流程，对特别稀缺专业人才，人才引进年龄上限放宽至45周岁。落实公立医院高级职称岗位扩容8%政策，优化专业技术岗位层级结构。严格执行薪酬分配“两个允许”“三项结构性调整”政策，稳步提升医务人员固定薪酬占比，构建贴合岗位难度、技术劳务价值的薪酬分配体系。</w:t>
      </w:r>
    </w:p>
    <w:p w14:paraId="49E4FF8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bCs/>
          <w:sz w:val="32"/>
          <w:szCs w:val="32"/>
        </w:rPr>
      </w:pPr>
      <w:r>
        <w:rPr>
          <w:rFonts w:hint="default" w:ascii="黑体" w:hAnsi="黑体" w:eastAsia="黑体" w:cs="黑体"/>
          <w:b w:val="0"/>
          <w:bCs w:val="0"/>
          <w:sz w:val="32"/>
          <w:szCs w:val="32"/>
        </w:rPr>
        <w:t>牵头单位：</w:t>
      </w:r>
      <w:r>
        <w:rPr>
          <w:rFonts w:hint="default" w:ascii="楷体_GB2312" w:hAnsi="楷体_GB2312" w:eastAsia="楷体_GB2312" w:cs="楷体_GB2312"/>
          <w:b w:val="0"/>
          <w:bCs w:val="0"/>
          <w:sz w:val="32"/>
          <w:szCs w:val="32"/>
        </w:rPr>
        <w:t>旗委编办</w:t>
      </w:r>
      <w:r>
        <w:rPr>
          <w:rFonts w:hint="eastAsia" w:ascii="楷体_GB2312" w:hAnsi="楷体_GB2312" w:eastAsia="楷体_GB2312" w:cs="楷体_GB2312"/>
          <w:b w:val="0"/>
          <w:bCs w:val="0"/>
          <w:sz w:val="32"/>
          <w:szCs w:val="32"/>
          <w:lang w:eastAsia="zh-CN"/>
        </w:rPr>
        <w:t>，</w:t>
      </w:r>
      <w:r>
        <w:rPr>
          <w:rFonts w:hint="eastAsia" w:ascii="楷体_GB2312" w:hAnsi="楷体_GB2312" w:eastAsia="楷体_GB2312" w:cs="楷体_GB2312"/>
          <w:b w:val="0"/>
          <w:bCs w:val="0"/>
          <w:sz w:val="32"/>
          <w:szCs w:val="32"/>
          <w:lang w:val="en-US" w:eastAsia="zh-CN"/>
        </w:rPr>
        <w:t>旗</w:t>
      </w:r>
      <w:r>
        <w:rPr>
          <w:rFonts w:hint="default" w:ascii="楷体_GB2312" w:hAnsi="楷体_GB2312" w:eastAsia="楷体_GB2312" w:cs="楷体_GB2312"/>
          <w:b w:val="0"/>
          <w:bCs w:val="0"/>
          <w:sz w:val="32"/>
          <w:szCs w:val="32"/>
        </w:rPr>
        <w:t>人社局</w:t>
      </w:r>
    </w:p>
    <w:p w14:paraId="53D1718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bCs/>
          <w:sz w:val="32"/>
          <w:szCs w:val="32"/>
        </w:rPr>
      </w:pPr>
      <w:r>
        <w:rPr>
          <w:rFonts w:hint="default" w:ascii="黑体" w:hAnsi="黑体" w:eastAsia="黑体" w:cs="黑体"/>
          <w:b w:val="0"/>
          <w:bCs w:val="0"/>
          <w:sz w:val="32"/>
          <w:szCs w:val="32"/>
        </w:rPr>
        <w:t>责任单位：</w:t>
      </w:r>
      <w:r>
        <w:rPr>
          <w:rFonts w:hint="default" w:ascii="楷体_GB2312" w:hAnsi="楷体_GB2312" w:eastAsia="楷体_GB2312" w:cs="楷体_GB2312"/>
          <w:b w:val="0"/>
          <w:bCs w:val="0"/>
          <w:sz w:val="32"/>
          <w:szCs w:val="32"/>
        </w:rPr>
        <w:t>旗卫健委、财政局</w:t>
      </w:r>
    </w:p>
    <w:p w14:paraId="4475853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_GB2312" w:cs="Times New Roman"/>
          <w:b/>
          <w:bCs/>
          <w:sz w:val="32"/>
          <w:szCs w:val="32"/>
        </w:rPr>
      </w:pPr>
      <w:r>
        <w:rPr>
          <w:rFonts w:hint="default" w:ascii="黑体" w:hAnsi="黑体" w:eastAsia="黑体" w:cs="黑体"/>
          <w:b w:val="0"/>
          <w:bCs w:val="0"/>
          <w:sz w:val="32"/>
          <w:szCs w:val="32"/>
        </w:rPr>
        <w:t>实施单位：</w:t>
      </w:r>
      <w:r>
        <w:rPr>
          <w:rFonts w:hint="default" w:ascii="楷体_GB2312" w:hAnsi="楷体_GB2312" w:eastAsia="楷体_GB2312" w:cs="楷体_GB2312"/>
          <w:b w:val="0"/>
          <w:bCs w:val="0"/>
          <w:sz w:val="32"/>
          <w:szCs w:val="32"/>
        </w:rPr>
        <w:t>各医共体牵头总医院</w:t>
      </w:r>
    </w:p>
    <w:p w14:paraId="65945A64">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b/>
          <w:bCs/>
          <w:sz w:val="32"/>
          <w:szCs w:val="32"/>
          <w:lang w:val="en-US" w:eastAsia="zh-CN"/>
        </w:rPr>
        <w:t>9.</w:t>
      </w:r>
      <w:r>
        <w:rPr>
          <w:rFonts w:hint="default" w:ascii="Times New Roman" w:hAnsi="Times New Roman" w:eastAsia="仿宋_GB2312" w:cs="Times New Roman"/>
          <w:b/>
          <w:bCs/>
          <w:sz w:val="32"/>
          <w:szCs w:val="32"/>
        </w:rPr>
        <w:t>刚性落实区域医疗卫生资源规划。</w:t>
      </w:r>
      <w:r>
        <w:rPr>
          <w:rFonts w:hint="default" w:ascii="Times New Roman" w:hAnsi="Times New Roman" w:eastAsia="仿宋_GB2312" w:cs="Times New Roman"/>
          <w:sz w:val="32"/>
          <w:szCs w:val="32"/>
        </w:rPr>
        <w:t>统筹全旗医疗机构床位、设备、专科资源调配，结合域内常住人口规模、疾病流行特征科学管控床位总量，资源投放优先向重症救治、肿瘤诊疗、康复理疗等供给缺口领域倾斜。推动公立医院发展模式由单纯扩大床位规模向提质增效转型，内部管理由粗放式运营转向精细化成本管控。建立跨层级医共体资源动态调配机制，打通市、旗、基层医疗机构协作通道，推动优质诊疗资源精准下沉、高效共享。</w:t>
      </w:r>
    </w:p>
    <w:p w14:paraId="391B8D17">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b/>
          <w:bCs/>
          <w:sz w:val="32"/>
          <w:szCs w:val="32"/>
          <w:lang w:val="en-US" w:eastAsia="zh-CN"/>
        </w:rPr>
        <w:t>10.</w:t>
      </w:r>
      <w:r>
        <w:rPr>
          <w:rFonts w:hint="default" w:ascii="Times New Roman" w:hAnsi="Times New Roman" w:eastAsia="仿宋_GB2312" w:cs="Times New Roman"/>
          <w:b/>
          <w:bCs/>
          <w:sz w:val="32"/>
          <w:szCs w:val="32"/>
        </w:rPr>
        <w:t>分层培育全域医疗卫生人才队伍。</w:t>
      </w:r>
      <w:r>
        <w:rPr>
          <w:rFonts w:hint="default" w:ascii="Times New Roman" w:hAnsi="Times New Roman" w:eastAsia="仿宋_GB2312" w:cs="Times New Roman"/>
          <w:sz w:val="32"/>
          <w:szCs w:val="32"/>
        </w:rPr>
        <w:t>坚持外部引育、内部培育双向发力，将人才建设作为公立医院长效发展核心抓手。围绕我旗转诊高发疾病柔性聘请区内外市级专家定期坐诊指导，分批选派院内骨干医师赴市级三甲医院进修深造；与区内外高水平三级医院建立长期帮扶合作，定期派遣专家团队驻旗开展手术、教学带教。常态化开展医院行政管理人员职业化能力培训，分层组织苏木镇、嘎查</w:t>
      </w:r>
      <w:r>
        <w:rPr>
          <w:rFonts w:hint="eastAsia" w:ascii="Times New Roman" w:hAnsi="Times New Roman" w:eastAsia="仿宋_GB2312" w:cs="Times New Roman"/>
          <w:sz w:val="32"/>
          <w:szCs w:val="32"/>
          <w:lang w:eastAsia="zh-CN"/>
        </w:rPr>
        <w:t>村</w:t>
      </w:r>
      <w:r>
        <w:rPr>
          <w:rFonts w:hint="default" w:ascii="Times New Roman" w:hAnsi="Times New Roman" w:eastAsia="仿宋_GB2312" w:cs="Times New Roman"/>
          <w:sz w:val="32"/>
          <w:szCs w:val="32"/>
        </w:rPr>
        <w:t>基层医务人员专项业务学习，打造专业结构均衡、业务能力过硬、管理水平突出的全域医疗卫生人才队伍。</w:t>
      </w:r>
    </w:p>
    <w:p w14:paraId="47453252">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b/>
          <w:bCs/>
          <w:sz w:val="32"/>
          <w:szCs w:val="32"/>
          <w:lang w:val="en-US" w:eastAsia="zh-CN"/>
        </w:rPr>
        <w:t>11.</w:t>
      </w:r>
      <w:r>
        <w:rPr>
          <w:rFonts w:hint="default" w:ascii="Times New Roman" w:hAnsi="Times New Roman" w:eastAsia="仿宋_GB2312" w:cs="Times New Roman"/>
          <w:b/>
          <w:bCs/>
          <w:sz w:val="32"/>
          <w:szCs w:val="32"/>
        </w:rPr>
        <w:t>提升公立医院精细化运营管理能力。</w:t>
      </w:r>
      <w:r>
        <w:rPr>
          <w:rFonts w:hint="default" w:ascii="Times New Roman" w:hAnsi="Times New Roman" w:eastAsia="仿宋_GB2312" w:cs="Times New Roman"/>
          <w:sz w:val="32"/>
          <w:szCs w:val="32"/>
        </w:rPr>
        <w:t>旗内所有二级公立医院设立运营管理委员会及专职办公室，配齐专业运营管理人员，依托医共体总院统筹基层医疗机构运营管控。全面落地全流程预算管理制度，覆盖预算编制、执行跟踪、动态监控、绩效考核全链条，对执行滞后、超预算项目及时预警整改，杜绝无预算、超预算开支。适配DIP医保付费改革要求，常态化开展医疗全成本核算分析，在保障诊疗安全前提下优化临床诊疗路径，压降药品、耗材营收占比，提高医疗技术服务有效收入。</w:t>
      </w:r>
    </w:p>
    <w:p w14:paraId="2C24ECA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bCs/>
          <w:sz w:val="32"/>
          <w:szCs w:val="32"/>
        </w:rPr>
      </w:pPr>
      <w:r>
        <w:rPr>
          <w:rFonts w:hint="default" w:ascii="黑体" w:hAnsi="黑体" w:eastAsia="黑体" w:cs="黑体"/>
          <w:b w:val="0"/>
          <w:bCs w:val="0"/>
          <w:sz w:val="32"/>
          <w:szCs w:val="32"/>
        </w:rPr>
        <w:t>牵头单位：</w:t>
      </w:r>
      <w:r>
        <w:rPr>
          <w:rFonts w:hint="default" w:ascii="楷体_GB2312" w:hAnsi="楷体_GB2312" w:eastAsia="楷体_GB2312" w:cs="楷体_GB2312"/>
          <w:b w:val="0"/>
          <w:bCs w:val="0"/>
          <w:sz w:val="32"/>
          <w:szCs w:val="32"/>
        </w:rPr>
        <w:t>旗卫健委</w:t>
      </w:r>
    </w:p>
    <w:p w14:paraId="470B35B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bCs/>
          <w:sz w:val="32"/>
          <w:szCs w:val="32"/>
        </w:rPr>
      </w:pPr>
      <w:r>
        <w:rPr>
          <w:rFonts w:hint="default" w:ascii="黑体" w:hAnsi="黑体" w:eastAsia="黑体" w:cs="黑体"/>
          <w:b w:val="0"/>
          <w:bCs w:val="0"/>
          <w:sz w:val="32"/>
          <w:szCs w:val="32"/>
        </w:rPr>
        <w:t>责任单位：</w:t>
      </w:r>
      <w:r>
        <w:rPr>
          <w:rFonts w:hint="default" w:ascii="楷体_GB2312" w:hAnsi="楷体_GB2312" w:eastAsia="楷体_GB2312" w:cs="楷体_GB2312"/>
          <w:b w:val="0"/>
          <w:bCs w:val="0"/>
          <w:sz w:val="32"/>
          <w:szCs w:val="32"/>
        </w:rPr>
        <w:t>旗财政局、医保局</w:t>
      </w:r>
    </w:p>
    <w:p w14:paraId="2DE3202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_GB2312" w:cs="Times New Roman"/>
          <w:sz w:val="32"/>
          <w:szCs w:val="32"/>
        </w:rPr>
      </w:pPr>
      <w:r>
        <w:rPr>
          <w:rFonts w:hint="default" w:ascii="黑体" w:hAnsi="黑体" w:eastAsia="黑体" w:cs="黑体"/>
          <w:b w:val="0"/>
          <w:bCs w:val="0"/>
          <w:sz w:val="32"/>
          <w:szCs w:val="32"/>
        </w:rPr>
        <w:t>实施单位：</w:t>
      </w:r>
      <w:r>
        <w:rPr>
          <w:rFonts w:hint="default" w:ascii="楷体_GB2312" w:hAnsi="楷体_GB2312" w:eastAsia="楷体_GB2312" w:cs="楷体_GB2312"/>
          <w:b w:val="0"/>
          <w:bCs w:val="0"/>
          <w:sz w:val="32"/>
          <w:szCs w:val="32"/>
        </w:rPr>
        <w:t>全旗各公立医疗机构</w:t>
      </w:r>
    </w:p>
    <w:p w14:paraId="585B802B">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楷体_GB2312" w:cs="Times New Roman"/>
          <w:b/>
          <w:bCs/>
          <w:sz w:val="32"/>
          <w:szCs w:val="32"/>
        </w:rPr>
      </w:pPr>
      <w:r>
        <w:rPr>
          <w:rFonts w:hint="default" w:ascii="Times New Roman" w:hAnsi="Times New Roman" w:eastAsia="楷体_GB2312" w:cs="Times New Roman"/>
          <w:b/>
          <w:bCs/>
          <w:sz w:val="32"/>
          <w:szCs w:val="32"/>
        </w:rPr>
        <w:t>（四）数字赋能医疗卫生服务，搭建全域智慧健康体系</w:t>
      </w:r>
    </w:p>
    <w:p w14:paraId="319D9F3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对照市级智慧医院建设行动部署，以破除数据孤岛、实现全域医疗数据互通共享为核心目标，统筹推进各级医疗机构信息化升级，推动临床诊疗、公共卫生、</w:t>
      </w:r>
      <w:r>
        <w:rPr>
          <w:rFonts w:hint="eastAsia" w:ascii="Times New Roman" w:hAnsi="Times New Roman" w:eastAsia="仿宋_GB2312" w:cs="Times New Roman"/>
          <w:sz w:val="32"/>
          <w:szCs w:val="32"/>
          <w:lang w:eastAsia="zh-CN"/>
        </w:rPr>
        <w:t>慢性病</w:t>
      </w:r>
      <w:r>
        <w:rPr>
          <w:rFonts w:hint="default" w:ascii="Times New Roman" w:hAnsi="Times New Roman" w:eastAsia="仿宋_GB2312" w:cs="Times New Roman"/>
          <w:sz w:val="32"/>
          <w:szCs w:val="32"/>
        </w:rPr>
        <w:t>健康管理深度融合。我旗已于2024年完成旗人民医院医共体信息化项目建设</w:t>
      </w:r>
      <w:r>
        <w:rPr>
          <w:rFonts w:hint="default" w:ascii="Times New Roman" w:hAnsi="Times New Roman" w:eastAsia="楷体_GB2312" w:cs="Times New Roman"/>
          <w:b w:val="0"/>
          <w:bCs w:val="0"/>
          <w:sz w:val="32"/>
          <w:szCs w:val="32"/>
        </w:rPr>
        <w:t>（总投资980.5万元）</w:t>
      </w:r>
      <w:r>
        <w:rPr>
          <w:rFonts w:hint="default" w:ascii="Times New Roman" w:hAnsi="Times New Roman" w:eastAsia="仿宋_GB2312" w:cs="Times New Roman"/>
          <w:sz w:val="32"/>
          <w:szCs w:val="32"/>
        </w:rPr>
        <w:t>，2025年完成旗蒙医医院信息化项目申报建设</w:t>
      </w:r>
      <w:r>
        <w:rPr>
          <w:rFonts w:hint="default" w:ascii="Times New Roman" w:hAnsi="Times New Roman" w:eastAsia="楷体_GB2312" w:cs="Times New Roman"/>
          <w:sz w:val="32"/>
          <w:szCs w:val="32"/>
        </w:rPr>
        <w:t>（总投资550万元）</w:t>
      </w:r>
      <w:r>
        <w:rPr>
          <w:rFonts w:hint="default" w:ascii="Times New Roman" w:hAnsi="Times New Roman" w:eastAsia="仿宋_GB2312" w:cs="Times New Roman"/>
          <w:sz w:val="32"/>
          <w:szCs w:val="32"/>
        </w:rPr>
        <w:t>，设备、系统硬件已全部落地，后续配齐专业运维及业务人员，即可实现全域医疗资源线上贯通、数据实时共享，切实简化群众就医流程。</w:t>
      </w:r>
    </w:p>
    <w:p w14:paraId="20C07334">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b/>
          <w:bCs/>
          <w:sz w:val="32"/>
          <w:szCs w:val="32"/>
          <w:lang w:val="en-US" w:eastAsia="zh-CN"/>
        </w:rPr>
        <w:t>12.</w:t>
      </w:r>
      <w:r>
        <w:rPr>
          <w:rFonts w:hint="default" w:ascii="Times New Roman" w:hAnsi="Times New Roman" w:eastAsia="仿宋_GB2312" w:cs="Times New Roman"/>
          <w:b/>
          <w:bCs/>
          <w:sz w:val="32"/>
          <w:szCs w:val="32"/>
        </w:rPr>
        <w:t>联动市级远程会诊转诊平台。</w:t>
      </w:r>
      <w:r>
        <w:rPr>
          <w:rFonts w:hint="default" w:ascii="Times New Roman" w:hAnsi="Times New Roman" w:eastAsia="仿宋_GB2312" w:cs="Times New Roman"/>
          <w:sz w:val="32"/>
          <w:szCs w:val="32"/>
        </w:rPr>
        <w:t>组织旗人民医院、旗蒙医医院全面接入巴彦淖尔市统一会诊转诊中心，针对我旗高发、外转率高的疑难病症，依托市级平台对接自治区、外地三甲医院专家资源，常态化开展线上病例研讨、远程影像会诊、检查结果互认服务，让群众在旗内即可享受高水平诊疗，有效降低跨区域外出就医比例。畅通市级医院、旗级医院、基层卫生室双向转诊通道，形成急性期住院治疗、恢复期基层康复的闭环诊疗模式。</w:t>
      </w:r>
    </w:p>
    <w:p w14:paraId="0389419E">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b/>
          <w:bCs/>
          <w:sz w:val="32"/>
          <w:szCs w:val="32"/>
          <w:lang w:val="en-US" w:eastAsia="zh-CN"/>
        </w:rPr>
        <w:t>13.</w:t>
      </w:r>
      <w:r>
        <w:rPr>
          <w:rFonts w:hint="default" w:ascii="Times New Roman" w:hAnsi="Times New Roman" w:eastAsia="仿宋_GB2312" w:cs="Times New Roman"/>
          <w:b/>
          <w:bCs/>
          <w:sz w:val="32"/>
          <w:szCs w:val="32"/>
        </w:rPr>
        <w:t>搭建旗</w:t>
      </w:r>
      <w:r>
        <w:rPr>
          <w:rFonts w:hint="eastAsia" w:ascii="Times New Roman" w:hAnsi="Times New Roman" w:eastAsia="仿宋_GB2312" w:cs="Times New Roman"/>
          <w:b/>
          <w:bCs/>
          <w:sz w:val="32"/>
          <w:szCs w:val="32"/>
          <w:lang w:eastAsia="zh-CN"/>
        </w:rPr>
        <w:t>、苏木镇</w:t>
      </w:r>
      <w:r>
        <w:rPr>
          <w:rFonts w:hint="eastAsia" w:ascii="Times New Roman" w:hAnsi="Times New Roman" w:eastAsia="仿宋_GB2312" w:cs="Times New Roman"/>
          <w:b/>
          <w:bCs/>
          <w:sz w:val="32"/>
          <w:szCs w:val="32"/>
          <w:lang w:val="en-US" w:eastAsia="zh-CN"/>
        </w:rPr>
        <w:t>、嘎查村</w:t>
      </w:r>
      <w:r>
        <w:rPr>
          <w:rFonts w:hint="default" w:ascii="Times New Roman" w:hAnsi="Times New Roman" w:eastAsia="仿宋_GB2312" w:cs="Times New Roman"/>
          <w:b/>
          <w:bCs/>
          <w:sz w:val="32"/>
          <w:szCs w:val="32"/>
        </w:rPr>
        <w:t>三级一体化健康管理中心。</w:t>
      </w:r>
      <w:r>
        <w:rPr>
          <w:rFonts w:hint="default" w:ascii="Times New Roman" w:hAnsi="Times New Roman" w:eastAsia="仿宋_GB2312" w:cs="Times New Roman"/>
          <w:sz w:val="32"/>
          <w:szCs w:val="32"/>
        </w:rPr>
        <w:t>以县域医共体为实施载体，整合旗总医院、各苏木镇卫生院诊疗与公卫服务资源，搭建旗级健康管理总中心、苏木镇分中心。依托人工智能辅助诊疗系统优化慢病管理、健康筛查服务；统一完成医共体内临床、公卫系统接口、身份认证、居民主索引标准化改造，打通机构间数据壁垒，实现诊疗、体检、随访数据互通。以家庭医生签约团队为基础统筹全域公共卫生服务资源，标准化开展高血压、糖尿病、慢阻肺等四类慢性病长期规范管控，持续降低慢性病过早死亡风险。同步常态化开展健康科普、生活方式干预，提升全旗群众健康素养。</w:t>
      </w:r>
    </w:p>
    <w:p w14:paraId="706E041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bCs/>
          <w:sz w:val="32"/>
          <w:szCs w:val="32"/>
        </w:rPr>
      </w:pPr>
      <w:r>
        <w:rPr>
          <w:rFonts w:hint="default" w:ascii="黑体" w:hAnsi="黑体" w:eastAsia="黑体" w:cs="黑体"/>
          <w:b w:val="0"/>
          <w:bCs w:val="0"/>
          <w:sz w:val="32"/>
          <w:szCs w:val="32"/>
        </w:rPr>
        <w:t>牵头单位：</w:t>
      </w:r>
      <w:r>
        <w:rPr>
          <w:rFonts w:hint="default" w:ascii="楷体_GB2312" w:hAnsi="楷体_GB2312" w:eastAsia="楷体_GB2312" w:cs="楷体_GB2312"/>
          <w:b w:val="0"/>
          <w:bCs w:val="0"/>
          <w:sz w:val="32"/>
          <w:szCs w:val="32"/>
        </w:rPr>
        <w:t>旗卫健委</w:t>
      </w:r>
    </w:p>
    <w:p w14:paraId="39BA650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bCs/>
          <w:sz w:val="32"/>
          <w:szCs w:val="32"/>
          <w:lang w:val="en-US" w:eastAsia="zh-CN"/>
        </w:rPr>
      </w:pPr>
      <w:r>
        <w:rPr>
          <w:rFonts w:hint="default" w:ascii="黑体" w:hAnsi="黑体" w:eastAsia="黑体" w:cs="黑体"/>
          <w:b w:val="0"/>
          <w:bCs w:val="0"/>
          <w:sz w:val="32"/>
          <w:szCs w:val="32"/>
        </w:rPr>
        <w:t>责任单位：</w:t>
      </w:r>
      <w:r>
        <w:rPr>
          <w:rFonts w:hint="default" w:ascii="楷体_GB2312" w:hAnsi="楷体_GB2312" w:eastAsia="楷体_GB2312" w:cs="楷体_GB2312"/>
          <w:b w:val="0"/>
          <w:bCs w:val="0"/>
          <w:sz w:val="32"/>
          <w:szCs w:val="32"/>
        </w:rPr>
        <w:t>旗财政局</w:t>
      </w:r>
      <w:r>
        <w:rPr>
          <w:rFonts w:hint="default" w:ascii="楷体_GB2312" w:hAnsi="楷体_GB2312" w:eastAsia="楷体_GB2312" w:cs="楷体_GB2312"/>
          <w:b w:val="0"/>
          <w:bCs w:val="0"/>
          <w:sz w:val="32"/>
          <w:szCs w:val="32"/>
          <w:lang w:eastAsia="zh-CN"/>
        </w:rPr>
        <w:t>、</w:t>
      </w:r>
      <w:r>
        <w:rPr>
          <w:rFonts w:hint="default" w:ascii="楷体_GB2312" w:hAnsi="楷体_GB2312" w:eastAsia="楷体_GB2312" w:cs="楷体_GB2312"/>
          <w:b w:val="0"/>
          <w:bCs w:val="0"/>
          <w:sz w:val="32"/>
          <w:szCs w:val="32"/>
          <w:lang w:val="en-US" w:eastAsia="zh-CN"/>
        </w:rPr>
        <w:t>医保局</w:t>
      </w:r>
    </w:p>
    <w:p w14:paraId="0821FF4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bCs/>
          <w:sz w:val="32"/>
          <w:szCs w:val="32"/>
        </w:rPr>
      </w:pPr>
      <w:r>
        <w:rPr>
          <w:rFonts w:hint="default" w:ascii="黑体" w:hAnsi="黑体" w:eastAsia="黑体" w:cs="黑体"/>
          <w:b w:val="0"/>
          <w:bCs w:val="0"/>
          <w:sz w:val="32"/>
          <w:szCs w:val="32"/>
        </w:rPr>
        <w:t>实施单位：</w:t>
      </w:r>
      <w:r>
        <w:rPr>
          <w:rFonts w:hint="default" w:ascii="楷体_GB2312" w:hAnsi="楷体_GB2312" w:eastAsia="楷体_GB2312" w:cs="楷体_GB2312"/>
          <w:b w:val="0"/>
          <w:bCs w:val="0"/>
          <w:sz w:val="32"/>
          <w:szCs w:val="32"/>
        </w:rPr>
        <w:t>旗人民医院</w:t>
      </w:r>
    </w:p>
    <w:p w14:paraId="4064ED3A">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b/>
          <w:bCs/>
          <w:sz w:val="32"/>
          <w:szCs w:val="32"/>
          <w:lang w:val="en-US" w:eastAsia="zh-CN"/>
        </w:rPr>
        <w:t>14.</w:t>
      </w:r>
      <w:r>
        <w:rPr>
          <w:rFonts w:hint="default" w:ascii="Times New Roman" w:hAnsi="Times New Roman" w:eastAsia="仿宋_GB2312" w:cs="Times New Roman"/>
          <w:b/>
          <w:bCs/>
          <w:sz w:val="32"/>
          <w:szCs w:val="32"/>
        </w:rPr>
        <w:t>升级旗域全民健康信息系统。</w:t>
      </w:r>
      <w:r>
        <w:rPr>
          <w:rFonts w:hint="default" w:ascii="Times New Roman" w:hAnsi="Times New Roman" w:eastAsia="仿宋_GB2312" w:cs="Times New Roman"/>
          <w:sz w:val="32"/>
          <w:szCs w:val="32"/>
        </w:rPr>
        <w:t>依托巴彦淖尔市全民健康信息化总平台，升级改造我旗本地医疗卫生信息系统，实现健康数据一次采集、多机构复用。归集全旗诊疗、体检、</w:t>
      </w:r>
      <w:r>
        <w:rPr>
          <w:rFonts w:hint="eastAsia" w:ascii="Times New Roman" w:hAnsi="Times New Roman" w:eastAsia="仿宋_GB2312" w:cs="Times New Roman"/>
          <w:sz w:val="32"/>
          <w:szCs w:val="32"/>
          <w:lang w:eastAsia="zh-CN"/>
        </w:rPr>
        <w:t>慢性病</w:t>
      </w:r>
      <w:r>
        <w:rPr>
          <w:rFonts w:hint="default" w:ascii="Times New Roman" w:hAnsi="Times New Roman" w:eastAsia="仿宋_GB2312" w:cs="Times New Roman"/>
          <w:sz w:val="32"/>
          <w:szCs w:val="32"/>
        </w:rPr>
        <w:t>随访、公卫服务全链条数据，同步向市级平台推送标准化数据资源；借助大数据、智能算法开展人群健康趋势分析、疾病风险预警，提升我旗疾病早筛、健康管理综合能力。</w:t>
      </w:r>
    </w:p>
    <w:p w14:paraId="381734E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bCs/>
          <w:sz w:val="32"/>
          <w:szCs w:val="32"/>
        </w:rPr>
      </w:pPr>
      <w:r>
        <w:rPr>
          <w:rFonts w:hint="default" w:ascii="黑体" w:hAnsi="黑体" w:eastAsia="黑体" w:cs="黑体"/>
          <w:b w:val="0"/>
          <w:bCs w:val="0"/>
          <w:sz w:val="32"/>
          <w:szCs w:val="32"/>
        </w:rPr>
        <w:t>牵头单位：</w:t>
      </w:r>
      <w:r>
        <w:rPr>
          <w:rFonts w:hint="default" w:ascii="楷体_GB2312" w:hAnsi="楷体_GB2312" w:eastAsia="楷体_GB2312" w:cs="楷体_GB2312"/>
          <w:b w:val="0"/>
          <w:bCs w:val="0"/>
          <w:sz w:val="32"/>
          <w:szCs w:val="32"/>
        </w:rPr>
        <w:t>旗卫健委</w:t>
      </w:r>
    </w:p>
    <w:p w14:paraId="5193CBF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bCs/>
          <w:sz w:val="32"/>
          <w:szCs w:val="32"/>
        </w:rPr>
      </w:pPr>
      <w:r>
        <w:rPr>
          <w:rFonts w:hint="default" w:ascii="黑体" w:hAnsi="黑体" w:eastAsia="黑体" w:cs="黑体"/>
          <w:b w:val="0"/>
          <w:bCs w:val="0"/>
          <w:sz w:val="32"/>
          <w:szCs w:val="32"/>
        </w:rPr>
        <w:t>责任单位：</w:t>
      </w:r>
      <w:r>
        <w:rPr>
          <w:rFonts w:hint="default" w:ascii="楷体_GB2312" w:hAnsi="楷体_GB2312" w:eastAsia="楷体_GB2312" w:cs="楷体_GB2312"/>
          <w:b w:val="0"/>
          <w:bCs w:val="0"/>
          <w:sz w:val="32"/>
          <w:szCs w:val="32"/>
        </w:rPr>
        <w:t>旗财政局、医保局</w:t>
      </w:r>
    </w:p>
    <w:p w14:paraId="299D374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bCs/>
          <w:sz w:val="32"/>
          <w:szCs w:val="32"/>
        </w:rPr>
      </w:pPr>
      <w:r>
        <w:rPr>
          <w:rFonts w:hint="default" w:ascii="黑体" w:hAnsi="黑体" w:eastAsia="黑体" w:cs="黑体"/>
          <w:b w:val="0"/>
          <w:bCs w:val="0"/>
          <w:sz w:val="32"/>
          <w:szCs w:val="32"/>
        </w:rPr>
        <w:t>实施单位：</w:t>
      </w:r>
      <w:r>
        <w:rPr>
          <w:rFonts w:hint="default" w:ascii="楷体_GB2312" w:hAnsi="楷体_GB2312" w:eastAsia="楷体_GB2312" w:cs="楷体_GB2312"/>
          <w:b w:val="0"/>
          <w:bCs w:val="0"/>
          <w:sz w:val="32"/>
          <w:szCs w:val="32"/>
        </w:rPr>
        <w:t>旗人民医院、蒙医医院</w:t>
      </w:r>
      <w:r>
        <w:rPr>
          <w:rFonts w:hint="eastAsia" w:ascii="楷体_GB2312" w:hAnsi="楷体_GB2312" w:eastAsia="楷体_GB2312" w:cs="楷体_GB2312"/>
          <w:b w:val="0"/>
          <w:bCs w:val="0"/>
          <w:sz w:val="32"/>
          <w:szCs w:val="32"/>
          <w:lang w:eastAsia="zh-CN"/>
        </w:rPr>
        <w:t>，</w:t>
      </w:r>
      <w:r>
        <w:rPr>
          <w:rFonts w:hint="default" w:ascii="楷体_GB2312" w:hAnsi="楷体_GB2312" w:eastAsia="楷体_GB2312" w:cs="楷体_GB2312"/>
          <w:b w:val="0"/>
          <w:bCs w:val="0"/>
          <w:sz w:val="32"/>
          <w:szCs w:val="32"/>
        </w:rPr>
        <w:t>各苏木镇卫生院</w:t>
      </w:r>
    </w:p>
    <w:p w14:paraId="552827A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sz w:val="32"/>
          <w:szCs w:val="32"/>
        </w:rPr>
      </w:pPr>
      <w:r>
        <w:rPr>
          <w:rFonts w:hint="eastAsia" w:ascii="Times New Roman" w:hAnsi="Times New Roman" w:eastAsia="黑体" w:cs="Times New Roman"/>
          <w:sz w:val="32"/>
          <w:szCs w:val="32"/>
          <w:lang w:eastAsia="zh-CN"/>
        </w:rPr>
        <w:t>四</w:t>
      </w:r>
      <w:r>
        <w:rPr>
          <w:rFonts w:hint="default" w:ascii="Times New Roman" w:hAnsi="Times New Roman" w:eastAsia="黑体" w:cs="Times New Roman"/>
          <w:sz w:val="32"/>
          <w:szCs w:val="32"/>
        </w:rPr>
        <w:t>、保障措施</w:t>
      </w:r>
    </w:p>
    <w:p w14:paraId="33891DDB">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b/>
          <w:bCs/>
          <w:sz w:val="32"/>
          <w:szCs w:val="32"/>
        </w:rPr>
        <w:t>（一）压实层级责任，健全统筹推进体系</w:t>
      </w:r>
    </w:p>
    <w:p w14:paraId="55392AE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建立“一把手”负总责、分管领导专项推进的项目落实机制，完善“三医六方”跨部门联动改革体系，设立专项工作专班统筹协调各项工作。各责任单位对照职责分工协同配合，结合我旗实际优化配套政策，为项目全周期实施创造良好政策环境。</w:t>
      </w:r>
    </w:p>
    <w:p w14:paraId="085ACAE4">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b/>
          <w:bCs/>
          <w:sz w:val="32"/>
          <w:szCs w:val="32"/>
        </w:rPr>
        <w:t>（二）统筹资金保障，规范资金全程监管</w:t>
      </w:r>
    </w:p>
    <w:p w14:paraId="1600E95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遵循集约节约、精准投放原则统筹调度中央专项补助资金，旗财政在年度卫生专项预算中足额安排本级配套资金，各公立医疗机构同步落实自筹配套经费。实行项目资金专账管理、专款专用，按照项目实施时序制定分阶段资金拨付计划，保障资金投放匹配项目建设进度。建立资金使用</w:t>
      </w:r>
      <w:r>
        <w:rPr>
          <w:rFonts w:hint="default" w:ascii="Times New Roman" w:hAnsi="Times New Roman" w:eastAsia="仿宋_GB2312" w:cs="Times New Roman"/>
          <w:sz w:val="32"/>
          <w:szCs w:val="32"/>
          <w:lang w:eastAsia="zh-CN"/>
        </w:rPr>
        <w:t>全过程监督</w:t>
      </w:r>
      <w:r>
        <w:rPr>
          <w:rFonts w:hint="default" w:ascii="Times New Roman" w:hAnsi="Times New Roman" w:eastAsia="仿宋_GB2312" w:cs="Times New Roman"/>
          <w:sz w:val="32"/>
          <w:szCs w:val="32"/>
        </w:rPr>
        <w:t>检查机制，定期开展专项督查，严禁挤占、截留、挪用项目资金，充分发挥财政资金撬动医疗卫生提质增效作用。</w:t>
      </w:r>
    </w:p>
    <w:p w14:paraId="3888AC75">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b/>
          <w:bCs/>
          <w:sz w:val="32"/>
          <w:szCs w:val="32"/>
        </w:rPr>
        <w:t>（三）完善督导考核，强化考核结果运用</w:t>
      </w:r>
    </w:p>
    <w:p w14:paraId="13D6E38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搭建适配我旗实际的项目监测、绩效评价体系，对照实施方案建立动态工作台账，实行月度调度、季度监测、年度综合评估。将项目实施成效与公立医院年度绩效考核深度绑定，考核结果直接与财政补助资金分配挂钩。通过实地走访、资料核查、座谈访谈等方式开展常态化督导，对推进滞后、落实不力的单位及时约谈督促整改，确保全部改革任务按期落地。</w:t>
      </w:r>
    </w:p>
    <w:p w14:paraId="6A640523">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小标宋简体" w:cs="Times New Roman"/>
          <w:sz w:val="44"/>
          <w:szCs w:val="44"/>
          <w:lang w:val="en-US" w:eastAsia="zh-CN"/>
        </w:rPr>
      </w:pPr>
    </w:p>
    <w:p w14:paraId="32868234">
      <w:pPr>
        <w:keepNext w:val="0"/>
        <w:keepLines w:val="0"/>
        <w:pageBreakBefore w:val="0"/>
        <w:widowControl w:val="0"/>
        <w:kinsoku/>
        <w:wordWrap/>
        <w:overflowPunct w:val="0"/>
        <w:topLinePunct w:val="0"/>
        <w:autoSpaceDE/>
        <w:autoSpaceDN/>
        <w:bidi w:val="0"/>
        <w:adjustRightInd/>
        <w:snapToGrid/>
        <w:spacing w:line="560" w:lineRule="exact"/>
        <w:ind w:firstLine="64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sz w:val="32"/>
          <w:szCs w:val="32"/>
          <w:lang w:val="en-US" w:eastAsia="zh-CN"/>
        </w:rPr>
        <w:t>附表1：</w:t>
      </w:r>
      <w:r>
        <w:rPr>
          <w:rFonts w:hint="default" w:ascii="Times New Roman" w:hAnsi="Times New Roman" w:eastAsia="仿宋_GB2312" w:cs="Times New Roman"/>
          <w:color w:val="auto"/>
          <w:sz w:val="32"/>
          <w:szCs w:val="32"/>
          <w:highlight w:val="none"/>
          <w:lang w:eastAsia="zh-CN"/>
        </w:rPr>
        <w:t>中央</w:t>
      </w:r>
      <w:r>
        <w:rPr>
          <w:rFonts w:hint="default" w:ascii="Times New Roman" w:hAnsi="Times New Roman" w:eastAsia="仿宋_GB2312" w:cs="Times New Roman"/>
          <w:color w:val="auto"/>
          <w:sz w:val="32"/>
          <w:szCs w:val="32"/>
          <w:highlight w:val="none"/>
        </w:rPr>
        <w:t>财政支持公立医院改革与高质量发展项目</w:t>
      </w:r>
    </w:p>
    <w:p w14:paraId="5E92258B">
      <w:pPr>
        <w:keepNext w:val="0"/>
        <w:keepLines w:val="0"/>
        <w:pageBreakBefore w:val="0"/>
        <w:widowControl w:val="0"/>
        <w:kinsoku/>
        <w:wordWrap/>
        <w:overflowPunct w:val="0"/>
        <w:topLinePunct w:val="0"/>
        <w:autoSpaceDE/>
        <w:autoSpaceDN/>
        <w:bidi w:val="0"/>
        <w:adjustRightInd/>
        <w:snapToGrid/>
        <w:spacing w:line="560" w:lineRule="exact"/>
        <w:ind w:firstLine="1932" w:firstLineChars="604"/>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实施计划表</w:t>
      </w:r>
    </w:p>
    <w:p w14:paraId="56EF5A0D">
      <w:pPr>
        <w:pStyle w:val="11"/>
        <w:keepNext w:val="0"/>
        <w:keepLines w:val="0"/>
        <w:pageBreakBefore w:val="0"/>
        <w:widowControl w:val="0"/>
        <w:kinsoku/>
        <w:wordWrap/>
        <w:overflowPunct w:val="0"/>
        <w:topLinePunct w:val="0"/>
        <w:autoSpaceDE/>
        <w:autoSpaceDN/>
        <w:bidi w:val="0"/>
        <w:adjustRightInd/>
        <w:snapToGrid/>
        <w:spacing w:line="560" w:lineRule="exact"/>
        <w:jc w:val="both"/>
        <w:textAlignment w:val="auto"/>
        <w:rPr>
          <w:rFonts w:hint="default" w:ascii="Times New Roman" w:hAnsi="Times New Roman" w:eastAsia="仿宋_GB2312" w:cs="Times New Roman"/>
          <w:b w:val="0"/>
          <w:bCs w:val="0"/>
          <w:color w:val="auto"/>
          <w:sz w:val="32"/>
          <w:szCs w:val="32"/>
          <w:highlight w:val="none"/>
          <w:u w:val="none"/>
        </w:rPr>
      </w:pPr>
      <w:r>
        <w:rPr>
          <w:rFonts w:hint="default" w:ascii="Times New Roman" w:hAnsi="Times New Roman" w:eastAsia="仿宋_GB2312" w:cs="Times New Roman"/>
          <w:sz w:val="32"/>
          <w:szCs w:val="32"/>
          <w:lang w:val="en-US" w:eastAsia="zh-CN"/>
        </w:rPr>
        <w:t>附表2：</w:t>
      </w:r>
      <w:r>
        <w:rPr>
          <w:rFonts w:hint="default" w:ascii="Times New Roman" w:hAnsi="Times New Roman" w:eastAsia="仿宋_GB2312" w:cs="Times New Roman"/>
          <w:b w:val="0"/>
          <w:bCs w:val="0"/>
          <w:color w:val="auto"/>
          <w:sz w:val="32"/>
          <w:szCs w:val="32"/>
          <w:highlight w:val="none"/>
          <w:u w:val="none"/>
        </w:rPr>
        <w:t>中央财政支持公立医院改革与高质量发展</w:t>
      </w:r>
    </w:p>
    <w:p w14:paraId="5ABFA170">
      <w:pPr>
        <w:pStyle w:val="11"/>
        <w:keepNext w:val="0"/>
        <w:keepLines w:val="0"/>
        <w:pageBreakBefore w:val="0"/>
        <w:widowControl w:val="0"/>
        <w:kinsoku/>
        <w:wordWrap/>
        <w:overflowPunct w:val="0"/>
        <w:topLinePunct w:val="0"/>
        <w:autoSpaceDE/>
        <w:autoSpaceDN/>
        <w:bidi w:val="0"/>
        <w:adjustRightInd/>
        <w:snapToGrid/>
        <w:spacing w:line="560" w:lineRule="exact"/>
        <w:ind w:firstLine="1920" w:firstLineChars="600"/>
        <w:jc w:val="both"/>
        <w:textAlignment w:val="auto"/>
        <w:rPr>
          <w:rFonts w:hint="default" w:ascii="Times New Roman" w:hAnsi="Times New Roman" w:eastAsia="仿宋_GB2312" w:cs="Times New Roman"/>
          <w:b w:val="0"/>
          <w:bCs w:val="0"/>
          <w:color w:val="auto"/>
          <w:sz w:val="32"/>
          <w:szCs w:val="32"/>
          <w:highlight w:val="none"/>
          <w:u w:val="none"/>
        </w:rPr>
      </w:pPr>
      <w:r>
        <w:rPr>
          <w:rFonts w:hint="default" w:ascii="Times New Roman" w:hAnsi="Times New Roman" w:eastAsia="仿宋_GB2312" w:cs="Times New Roman"/>
          <w:b w:val="0"/>
          <w:bCs w:val="0"/>
          <w:color w:val="auto"/>
          <w:sz w:val="32"/>
          <w:szCs w:val="32"/>
          <w:highlight w:val="none"/>
          <w:u w:val="none"/>
          <w:lang w:val="en-US" w:eastAsia="zh-CN"/>
        </w:rPr>
        <w:t>提升</w:t>
      </w:r>
      <w:r>
        <w:rPr>
          <w:rFonts w:hint="default" w:ascii="Times New Roman" w:hAnsi="Times New Roman" w:eastAsia="仿宋_GB2312" w:cs="Times New Roman"/>
          <w:b w:val="0"/>
          <w:bCs w:val="0"/>
          <w:color w:val="auto"/>
          <w:sz w:val="32"/>
          <w:szCs w:val="32"/>
          <w:highlight w:val="none"/>
          <w:u w:val="none"/>
        </w:rPr>
        <w:t>项目绩效目标表</w:t>
      </w:r>
    </w:p>
    <w:p w14:paraId="568E8C5E">
      <w:pPr>
        <w:pStyle w:val="11"/>
        <w:keepNext w:val="0"/>
        <w:keepLines w:val="0"/>
        <w:pageBreakBefore w:val="0"/>
        <w:widowControl w:val="0"/>
        <w:kinsoku/>
        <w:wordWrap/>
        <w:overflowPunct w:val="0"/>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auto"/>
          <w:sz w:val="32"/>
          <w:szCs w:val="32"/>
          <w:highlight w:val="none"/>
          <w:u w:val="none"/>
        </w:rPr>
      </w:pPr>
      <w:r>
        <w:rPr>
          <w:rFonts w:hint="default" w:ascii="Times New Roman" w:hAnsi="Times New Roman" w:eastAsia="仿宋_GB2312" w:cs="Times New Roman"/>
          <w:sz w:val="32"/>
          <w:szCs w:val="32"/>
          <w:lang w:val="en-US" w:eastAsia="zh-CN"/>
        </w:rPr>
        <w:t>附表3：</w:t>
      </w:r>
      <w:r>
        <w:rPr>
          <w:rFonts w:hint="default" w:ascii="Times New Roman" w:hAnsi="Times New Roman" w:eastAsia="仿宋_GB2312" w:cs="Times New Roman"/>
          <w:b w:val="0"/>
          <w:bCs w:val="0"/>
          <w:color w:val="auto"/>
          <w:sz w:val="32"/>
          <w:szCs w:val="32"/>
          <w:highlight w:val="none"/>
          <w:u w:val="none"/>
        </w:rPr>
        <w:t>乌拉特后旗推进公立医院改革与高质量发展提</w:t>
      </w:r>
    </w:p>
    <w:p w14:paraId="382F4FCE">
      <w:pPr>
        <w:pStyle w:val="11"/>
        <w:keepNext w:val="0"/>
        <w:keepLines w:val="0"/>
        <w:pageBreakBefore w:val="0"/>
        <w:widowControl w:val="0"/>
        <w:kinsoku/>
        <w:wordWrap/>
        <w:overflowPunct w:val="0"/>
        <w:topLinePunct w:val="0"/>
        <w:autoSpaceDE/>
        <w:autoSpaceDN/>
        <w:bidi w:val="0"/>
        <w:adjustRightInd/>
        <w:snapToGrid/>
        <w:spacing w:line="560" w:lineRule="exact"/>
        <w:ind w:firstLine="1920" w:firstLineChars="600"/>
        <w:jc w:val="both"/>
        <w:textAlignment w:val="auto"/>
        <w:rPr>
          <w:rFonts w:hint="default" w:ascii="Times New Roman" w:hAnsi="Times New Roman" w:eastAsia="仿宋_GB2312" w:cs="Times New Roman"/>
          <w:b w:val="0"/>
          <w:bCs w:val="0"/>
          <w:color w:val="auto"/>
          <w:sz w:val="32"/>
          <w:szCs w:val="32"/>
          <w:highlight w:val="none"/>
          <w:u w:val="none"/>
        </w:rPr>
      </w:pPr>
      <w:r>
        <w:rPr>
          <w:rFonts w:hint="default" w:ascii="Times New Roman" w:hAnsi="Times New Roman" w:eastAsia="仿宋_GB2312" w:cs="Times New Roman"/>
          <w:b w:val="0"/>
          <w:bCs w:val="0"/>
          <w:color w:val="auto"/>
          <w:sz w:val="32"/>
          <w:szCs w:val="32"/>
          <w:highlight w:val="none"/>
          <w:u w:val="none"/>
        </w:rPr>
        <w:t>升项目任务清单</w:t>
      </w:r>
    </w:p>
    <w:p w14:paraId="508FD926">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eastAsia="方正小标宋简体" w:cs="Times New Roman"/>
          <w:sz w:val="44"/>
          <w:szCs w:val="44"/>
          <w:lang w:val="en-US" w:eastAsia="zh-CN"/>
        </w:rPr>
      </w:pPr>
    </w:p>
    <w:p w14:paraId="30577468">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eastAsia="方正小标宋简体" w:cs="Times New Roman"/>
          <w:sz w:val="44"/>
          <w:szCs w:val="44"/>
          <w:lang w:val="en-US" w:eastAsia="zh-CN"/>
        </w:rPr>
      </w:pPr>
    </w:p>
    <w:p w14:paraId="43EA4EF2">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eastAsia="方正小标宋简体" w:cs="Times New Roman"/>
          <w:sz w:val="44"/>
          <w:szCs w:val="44"/>
          <w:lang w:val="en-US" w:eastAsia="zh-CN"/>
        </w:rPr>
        <w:sectPr>
          <w:footerReference r:id="rId3" w:type="default"/>
          <w:pgSz w:w="11906" w:h="16838"/>
          <w:pgMar w:top="2098" w:right="1474" w:bottom="1984" w:left="1587" w:header="851" w:footer="992" w:gutter="0"/>
          <w:pgNumType w:fmt="numberInDash"/>
          <w:cols w:space="425" w:num="1"/>
          <w:docGrid w:type="lines" w:linePitch="312" w:charSpace="0"/>
        </w:sectPr>
      </w:pPr>
    </w:p>
    <w:p w14:paraId="1505AF32">
      <w:pPr>
        <w:pageBreakBefore w:val="0"/>
        <w:kinsoku/>
        <w:wordWrap/>
        <w:overflowPunct w:val="0"/>
        <w:topLinePunct w:val="0"/>
        <w:autoSpaceDE/>
        <w:autoSpaceDN/>
        <w:bidi w:val="0"/>
        <w:spacing w:line="560" w:lineRule="exact"/>
        <w:jc w:val="left"/>
        <w:rPr>
          <w:rFonts w:hint="default" w:ascii="Times New Roman" w:hAnsi="Times New Roman" w:eastAsia="黑体" w:cs="Times New Roman"/>
          <w:b w:val="0"/>
          <w:bCs w:val="0"/>
          <w:color w:val="auto"/>
          <w:sz w:val="32"/>
          <w:szCs w:val="32"/>
          <w:highlight w:val="none"/>
          <w:lang w:val="en-US" w:eastAsia="zh-CN"/>
        </w:rPr>
      </w:pPr>
      <w:bookmarkStart w:id="0" w:name="OLE_LINK4"/>
      <w:r>
        <w:rPr>
          <w:rFonts w:hint="default" w:ascii="Times New Roman" w:hAnsi="Times New Roman" w:eastAsia="黑体" w:cs="Times New Roman"/>
          <w:b w:val="0"/>
          <w:bCs w:val="0"/>
          <w:color w:val="auto"/>
          <w:sz w:val="32"/>
          <w:szCs w:val="32"/>
          <w:highlight w:val="none"/>
          <w:lang w:eastAsia="zh-CN"/>
        </w:rPr>
        <w:t>附</w:t>
      </w:r>
      <w:r>
        <w:rPr>
          <w:rFonts w:hint="default" w:ascii="Times New Roman" w:hAnsi="Times New Roman" w:eastAsia="黑体" w:cs="Times New Roman"/>
          <w:b w:val="0"/>
          <w:bCs w:val="0"/>
          <w:color w:val="auto"/>
          <w:sz w:val="32"/>
          <w:szCs w:val="32"/>
          <w:highlight w:val="none"/>
          <w:lang w:val="en-US" w:eastAsia="zh-CN"/>
        </w:rPr>
        <w:t>表1</w:t>
      </w:r>
    </w:p>
    <w:p w14:paraId="73B67F8E">
      <w:pPr>
        <w:pageBreakBefore w:val="0"/>
        <w:kinsoku/>
        <w:wordWrap/>
        <w:overflowPunct w:val="0"/>
        <w:topLinePunct w:val="0"/>
        <w:autoSpaceDE/>
        <w:autoSpaceDN/>
        <w:bidi w:val="0"/>
        <w:spacing w:line="560" w:lineRule="exact"/>
        <w:jc w:val="center"/>
        <w:rPr>
          <w:rFonts w:hint="default" w:ascii="Times New Roman" w:hAnsi="Times New Roman" w:eastAsia="方正小标宋_GBK" w:cs="Times New Roman"/>
          <w:color w:val="auto"/>
          <w:sz w:val="44"/>
          <w:szCs w:val="44"/>
          <w:highlight w:val="none"/>
        </w:rPr>
      </w:pPr>
      <w:r>
        <w:rPr>
          <w:rFonts w:hint="eastAsia" w:ascii="方正小标宋简体" w:hAnsi="方正小标宋简体" w:eastAsia="方正小标宋简体" w:cs="方正小标宋简体"/>
          <w:color w:val="auto"/>
          <w:sz w:val="44"/>
          <w:szCs w:val="44"/>
          <w:highlight w:val="none"/>
          <w:lang w:eastAsia="zh-CN"/>
        </w:rPr>
        <w:t>中央</w:t>
      </w:r>
      <w:r>
        <w:rPr>
          <w:rFonts w:hint="eastAsia" w:ascii="方正小标宋简体" w:hAnsi="方正小标宋简体" w:eastAsia="方正小标宋简体" w:cs="方正小标宋简体"/>
          <w:color w:val="auto"/>
          <w:sz w:val="44"/>
          <w:szCs w:val="44"/>
          <w:highlight w:val="none"/>
        </w:rPr>
        <w:t>财政支持公立医院改革与高质量发展项目实施计划表</w:t>
      </w:r>
    </w:p>
    <w:tbl>
      <w:tblPr>
        <w:tblStyle w:val="7"/>
        <w:tblW w:w="152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3"/>
        <w:gridCol w:w="782"/>
        <w:gridCol w:w="881"/>
        <w:gridCol w:w="975"/>
        <w:gridCol w:w="2681"/>
        <w:gridCol w:w="640"/>
        <w:gridCol w:w="825"/>
        <w:gridCol w:w="750"/>
        <w:gridCol w:w="885"/>
        <w:gridCol w:w="660"/>
        <w:gridCol w:w="3022"/>
        <w:gridCol w:w="2644"/>
      </w:tblGrid>
      <w:tr w14:paraId="759DB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1" w:hRule="atLeast"/>
          <w:tblHeader/>
          <w:jc w:val="center"/>
        </w:trPr>
        <w:tc>
          <w:tcPr>
            <w:tcW w:w="523" w:type="dxa"/>
            <w:vMerge w:val="restart"/>
            <w:noWrap w:val="0"/>
            <w:vAlign w:val="center"/>
          </w:tcPr>
          <w:p w14:paraId="5363F73B">
            <w:pPr>
              <w:keepNext w:val="0"/>
              <w:keepLines w:val="0"/>
              <w:pageBreakBefore w:val="0"/>
              <w:suppressLineNumbers w:val="0"/>
              <w:kinsoku/>
              <w:wordWrap/>
              <w:overflowPunct w:val="0"/>
              <w:topLinePunct w:val="0"/>
              <w:autoSpaceDE/>
              <w:autoSpaceDN/>
              <w:bidi w:val="0"/>
              <w:adjustRightInd/>
              <w:spacing w:before="0" w:beforeAutospacing="0" w:after="0" w:afterAutospacing="0" w:line="300" w:lineRule="exact"/>
              <w:ind w:left="0" w:right="0"/>
              <w:jc w:val="center"/>
              <w:rPr>
                <w:rFonts w:hint="eastAsia" w:ascii="黑体" w:hAnsi="黑体" w:eastAsia="黑体" w:cs="黑体"/>
                <w:b w:val="0"/>
                <w:bCs w:val="0"/>
                <w:i w:val="0"/>
                <w:iCs w:val="0"/>
                <w:color w:val="auto"/>
                <w:sz w:val="21"/>
                <w:szCs w:val="21"/>
                <w:highlight w:val="none"/>
                <w:lang w:eastAsia="zh-CN"/>
              </w:rPr>
            </w:pPr>
            <w:r>
              <w:rPr>
                <w:rFonts w:hint="eastAsia" w:ascii="黑体" w:hAnsi="黑体" w:eastAsia="黑体" w:cs="黑体"/>
                <w:b w:val="0"/>
                <w:bCs w:val="0"/>
                <w:i w:val="0"/>
                <w:iCs w:val="0"/>
                <w:color w:val="auto"/>
                <w:sz w:val="21"/>
                <w:szCs w:val="21"/>
                <w:highlight w:val="none"/>
                <w:lang w:eastAsia="zh-CN"/>
              </w:rPr>
              <w:t>序号</w:t>
            </w:r>
          </w:p>
        </w:tc>
        <w:tc>
          <w:tcPr>
            <w:tcW w:w="782" w:type="dxa"/>
            <w:vMerge w:val="restart"/>
            <w:noWrap w:val="0"/>
            <w:vAlign w:val="center"/>
          </w:tcPr>
          <w:p w14:paraId="6D3CC5B2">
            <w:pPr>
              <w:keepNext w:val="0"/>
              <w:keepLines w:val="0"/>
              <w:pageBreakBefore w:val="0"/>
              <w:suppressLineNumbers w:val="0"/>
              <w:kinsoku/>
              <w:wordWrap/>
              <w:overflowPunct w:val="0"/>
              <w:topLinePunct w:val="0"/>
              <w:autoSpaceDE/>
              <w:autoSpaceDN/>
              <w:bidi w:val="0"/>
              <w:adjustRightInd/>
              <w:spacing w:before="0" w:beforeAutospacing="0" w:after="0" w:afterAutospacing="0" w:line="300" w:lineRule="exact"/>
              <w:ind w:left="0" w:right="0"/>
              <w:jc w:val="center"/>
              <w:rPr>
                <w:rFonts w:hint="eastAsia" w:ascii="黑体" w:hAnsi="黑体" w:eastAsia="黑体" w:cs="黑体"/>
                <w:b w:val="0"/>
                <w:bCs w:val="0"/>
                <w:i w:val="0"/>
                <w:iCs w:val="0"/>
                <w:color w:val="auto"/>
                <w:sz w:val="21"/>
                <w:szCs w:val="21"/>
                <w:highlight w:val="none"/>
                <w:lang w:eastAsia="zh-CN"/>
              </w:rPr>
            </w:pPr>
            <w:r>
              <w:rPr>
                <w:rFonts w:hint="eastAsia" w:ascii="黑体" w:hAnsi="黑体" w:eastAsia="黑体" w:cs="黑体"/>
                <w:b w:val="0"/>
                <w:bCs w:val="0"/>
                <w:i w:val="0"/>
                <w:iCs w:val="0"/>
                <w:color w:val="auto"/>
                <w:sz w:val="21"/>
                <w:szCs w:val="21"/>
                <w:highlight w:val="none"/>
                <w:lang w:eastAsia="zh-CN"/>
              </w:rPr>
              <w:t>项目</w:t>
            </w:r>
          </w:p>
          <w:p w14:paraId="6CDF8EB9">
            <w:pPr>
              <w:keepNext w:val="0"/>
              <w:keepLines w:val="0"/>
              <w:pageBreakBefore w:val="0"/>
              <w:suppressLineNumbers w:val="0"/>
              <w:kinsoku/>
              <w:wordWrap/>
              <w:overflowPunct w:val="0"/>
              <w:topLinePunct w:val="0"/>
              <w:autoSpaceDE/>
              <w:autoSpaceDN/>
              <w:bidi w:val="0"/>
              <w:adjustRightInd/>
              <w:spacing w:before="0" w:beforeAutospacing="0" w:after="0" w:afterAutospacing="0" w:line="300" w:lineRule="exact"/>
              <w:ind w:left="0" w:right="0"/>
              <w:jc w:val="center"/>
              <w:rPr>
                <w:rFonts w:hint="eastAsia" w:ascii="黑体" w:hAnsi="黑体" w:eastAsia="黑体" w:cs="黑体"/>
                <w:b w:val="0"/>
                <w:bCs w:val="0"/>
                <w:i w:val="0"/>
                <w:iCs w:val="0"/>
                <w:color w:val="auto"/>
                <w:sz w:val="21"/>
                <w:szCs w:val="21"/>
                <w:highlight w:val="none"/>
                <w:lang w:eastAsia="zh-CN"/>
              </w:rPr>
            </w:pPr>
            <w:r>
              <w:rPr>
                <w:rFonts w:hint="eastAsia" w:ascii="黑体" w:hAnsi="黑体" w:eastAsia="黑体" w:cs="黑体"/>
                <w:b w:val="0"/>
                <w:bCs w:val="0"/>
                <w:i w:val="0"/>
                <w:iCs w:val="0"/>
                <w:color w:val="auto"/>
                <w:sz w:val="21"/>
                <w:szCs w:val="21"/>
                <w:highlight w:val="none"/>
                <w:lang w:eastAsia="zh-CN"/>
              </w:rPr>
              <w:t>名称</w:t>
            </w:r>
          </w:p>
        </w:tc>
        <w:tc>
          <w:tcPr>
            <w:tcW w:w="881" w:type="dxa"/>
            <w:vMerge w:val="restart"/>
            <w:noWrap w:val="0"/>
            <w:vAlign w:val="center"/>
          </w:tcPr>
          <w:p w14:paraId="19042B6B">
            <w:pPr>
              <w:keepNext w:val="0"/>
              <w:keepLines w:val="0"/>
              <w:pageBreakBefore w:val="0"/>
              <w:suppressLineNumbers w:val="0"/>
              <w:kinsoku/>
              <w:wordWrap/>
              <w:overflowPunct w:val="0"/>
              <w:topLinePunct w:val="0"/>
              <w:autoSpaceDE/>
              <w:autoSpaceDN/>
              <w:bidi w:val="0"/>
              <w:adjustRightInd/>
              <w:spacing w:before="0" w:beforeAutospacing="0" w:after="0" w:afterAutospacing="0" w:line="300" w:lineRule="exact"/>
              <w:ind w:left="0" w:right="0"/>
              <w:jc w:val="center"/>
              <w:rPr>
                <w:rFonts w:hint="eastAsia" w:ascii="黑体" w:hAnsi="黑体" w:eastAsia="黑体" w:cs="黑体"/>
                <w:b w:val="0"/>
                <w:bCs w:val="0"/>
                <w:i w:val="0"/>
                <w:iCs w:val="0"/>
                <w:color w:val="auto"/>
                <w:sz w:val="21"/>
                <w:szCs w:val="21"/>
                <w:highlight w:val="none"/>
                <w:lang w:eastAsia="zh-CN"/>
              </w:rPr>
            </w:pPr>
            <w:r>
              <w:rPr>
                <w:rFonts w:hint="eastAsia" w:ascii="黑体" w:hAnsi="黑体" w:eastAsia="黑体" w:cs="黑体"/>
                <w:b w:val="0"/>
                <w:bCs w:val="0"/>
                <w:i w:val="0"/>
                <w:iCs w:val="0"/>
                <w:color w:val="auto"/>
                <w:sz w:val="21"/>
                <w:szCs w:val="21"/>
                <w:highlight w:val="none"/>
                <w:lang w:eastAsia="zh-CN"/>
              </w:rPr>
              <w:t>子项目</w:t>
            </w:r>
          </w:p>
          <w:p w14:paraId="491FB455">
            <w:pPr>
              <w:keepNext w:val="0"/>
              <w:keepLines w:val="0"/>
              <w:pageBreakBefore w:val="0"/>
              <w:suppressLineNumbers w:val="0"/>
              <w:kinsoku/>
              <w:wordWrap/>
              <w:overflowPunct w:val="0"/>
              <w:topLinePunct w:val="0"/>
              <w:autoSpaceDE/>
              <w:autoSpaceDN/>
              <w:bidi w:val="0"/>
              <w:adjustRightInd/>
              <w:spacing w:before="0" w:beforeAutospacing="0" w:after="0" w:afterAutospacing="0" w:line="300" w:lineRule="exact"/>
              <w:ind w:left="0" w:right="0"/>
              <w:jc w:val="center"/>
              <w:rPr>
                <w:rFonts w:hint="eastAsia" w:ascii="黑体" w:hAnsi="黑体" w:eastAsia="黑体" w:cs="黑体"/>
                <w:b w:val="0"/>
                <w:bCs w:val="0"/>
                <w:i w:val="0"/>
                <w:iCs w:val="0"/>
                <w:color w:val="auto"/>
                <w:sz w:val="21"/>
                <w:szCs w:val="21"/>
                <w:highlight w:val="none"/>
                <w:lang w:eastAsia="zh-CN"/>
              </w:rPr>
            </w:pPr>
            <w:r>
              <w:rPr>
                <w:rFonts w:hint="eastAsia" w:ascii="黑体" w:hAnsi="黑体" w:eastAsia="黑体" w:cs="黑体"/>
                <w:b w:val="0"/>
                <w:bCs w:val="0"/>
                <w:i w:val="0"/>
                <w:iCs w:val="0"/>
                <w:color w:val="auto"/>
                <w:sz w:val="21"/>
                <w:szCs w:val="21"/>
                <w:highlight w:val="none"/>
                <w:lang w:eastAsia="zh-CN"/>
              </w:rPr>
              <w:t>名称</w:t>
            </w:r>
          </w:p>
        </w:tc>
        <w:tc>
          <w:tcPr>
            <w:tcW w:w="975" w:type="dxa"/>
            <w:vMerge w:val="restart"/>
            <w:noWrap w:val="0"/>
            <w:vAlign w:val="center"/>
          </w:tcPr>
          <w:p w14:paraId="625CA597">
            <w:pPr>
              <w:keepNext w:val="0"/>
              <w:keepLines w:val="0"/>
              <w:pageBreakBefore w:val="0"/>
              <w:suppressLineNumbers w:val="0"/>
              <w:kinsoku/>
              <w:wordWrap/>
              <w:overflowPunct w:val="0"/>
              <w:topLinePunct w:val="0"/>
              <w:autoSpaceDE/>
              <w:autoSpaceDN/>
              <w:bidi w:val="0"/>
              <w:adjustRightInd/>
              <w:spacing w:before="0" w:beforeAutospacing="0" w:after="0" w:afterAutospacing="0" w:line="300" w:lineRule="exact"/>
              <w:ind w:left="0" w:right="0"/>
              <w:jc w:val="center"/>
              <w:rPr>
                <w:rFonts w:hint="eastAsia" w:ascii="黑体" w:hAnsi="黑体" w:eastAsia="黑体" w:cs="黑体"/>
                <w:b w:val="0"/>
                <w:bCs w:val="0"/>
                <w:i w:val="0"/>
                <w:iCs w:val="0"/>
                <w:color w:val="auto"/>
                <w:sz w:val="21"/>
                <w:szCs w:val="21"/>
                <w:highlight w:val="none"/>
              </w:rPr>
            </w:pPr>
            <w:r>
              <w:rPr>
                <w:rFonts w:hint="eastAsia" w:ascii="黑体" w:hAnsi="黑体" w:eastAsia="黑体" w:cs="黑体"/>
                <w:b w:val="0"/>
                <w:bCs w:val="0"/>
                <w:i w:val="0"/>
                <w:iCs w:val="0"/>
                <w:color w:val="auto"/>
                <w:sz w:val="21"/>
                <w:szCs w:val="21"/>
                <w:highlight w:val="none"/>
              </w:rPr>
              <w:t>实施</w:t>
            </w:r>
          </w:p>
          <w:p w14:paraId="4FA8F493">
            <w:pPr>
              <w:keepNext w:val="0"/>
              <w:keepLines w:val="0"/>
              <w:pageBreakBefore w:val="0"/>
              <w:suppressLineNumbers w:val="0"/>
              <w:kinsoku/>
              <w:wordWrap/>
              <w:overflowPunct w:val="0"/>
              <w:topLinePunct w:val="0"/>
              <w:autoSpaceDE/>
              <w:autoSpaceDN/>
              <w:bidi w:val="0"/>
              <w:adjustRightInd/>
              <w:spacing w:before="0" w:beforeAutospacing="0" w:after="0" w:afterAutospacing="0" w:line="300" w:lineRule="exact"/>
              <w:ind w:left="0" w:right="0"/>
              <w:jc w:val="center"/>
              <w:rPr>
                <w:rFonts w:hint="eastAsia" w:ascii="黑体" w:hAnsi="黑体" w:eastAsia="黑体" w:cs="黑体"/>
                <w:b w:val="0"/>
                <w:bCs w:val="0"/>
                <w:i w:val="0"/>
                <w:iCs w:val="0"/>
                <w:color w:val="auto"/>
                <w:sz w:val="21"/>
                <w:szCs w:val="21"/>
                <w:highlight w:val="none"/>
              </w:rPr>
            </w:pPr>
            <w:r>
              <w:rPr>
                <w:rFonts w:hint="eastAsia" w:ascii="黑体" w:hAnsi="黑体" w:eastAsia="黑体" w:cs="黑体"/>
                <w:b w:val="0"/>
                <w:bCs w:val="0"/>
                <w:i w:val="0"/>
                <w:iCs w:val="0"/>
                <w:color w:val="auto"/>
                <w:sz w:val="21"/>
                <w:szCs w:val="21"/>
                <w:highlight w:val="none"/>
              </w:rPr>
              <w:t>主体</w:t>
            </w:r>
          </w:p>
        </w:tc>
        <w:tc>
          <w:tcPr>
            <w:tcW w:w="2681" w:type="dxa"/>
            <w:vMerge w:val="restart"/>
            <w:noWrap w:val="0"/>
            <w:vAlign w:val="center"/>
          </w:tcPr>
          <w:p w14:paraId="2B1E6855">
            <w:pPr>
              <w:keepNext w:val="0"/>
              <w:keepLines w:val="0"/>
              <w:pageBreakBefore w:val="0"/>
              <w:suppressLineNumbers w:val="0"/>
              <w:kinsoku/>
              <w:wordWrap/>
              <w:overflowPunct w:val="0"/>
              <w:topLinePunct w:val="0"/>
              <w:autoSpaceDE/>
              <w:autoSpaceDN/>
              <w:bidi w:val="0"/>
              <w:adjustRightInd/>
              <w:spacing w:before="0" w:beforeAutospacing="0" w:after="0" w:afterAutospacing="0" w:line="300" w:lineRule="exact"/>
              <w:ind w:left="0" w:right="0"/>
              <w:jc w:val="center"/>
              <w:rPr>
                <w:rFonts w:hint="eastAsia" w:ascii="黑体" w:hAnsi="黑体" w:eastAsia="黑体" w:cs="黑体"/>
                <w:b w:val="0"/>
                <w:bCs w:val="0"/>
                <w:i w:val="0"/>
                <w:iCs w:val="0"/>
                <w:color w:val="auto"/>
                <w:sz w:val="21"/>
                <w:szCs w:val="21"/>
                <w:highlight w:val="none"/>
              </w:rPr>
            </w:pPr>
            <w:r>
              <w:rPr>
                <w:rFonts w:hint="eastAsia" w:ascii="黑体" w:hAnsi="黑体" w:eastAsia="黑体" w:cs="黑体"/>
                <w:b w:val="0"/>
                <w:bCs w:val="0"/>
                <w:i w:val="0"/>
                <w:iCs w:val="0"/>
                <w:color w:val="auto"/>
                <w:sz w:val="21"/>
                <w:szCs w:val="21"/>
                <w:highlight w:val="none"/>
              </w:rPr>
              <w:t>主要内容</w:t>
            </w:r>
          </w:p>
        </w:tc>
        <w:tc>
          <w:tcPr>
            <w:tcW w:w="3760" w:type="dxa"/>
            <w:gridSpan w:val="5"/>
            <w:noWrap w:val="0"/>
            <w:vAlign w:val="center"/>
          </w:tcPr>
          <w:p w14:paraId="29BA72DF">
            <w:pPr>
              <w:keepNext w:val="0"/>
              <w:keepLines w:val="0"/>
              <w:pageBreakBefore w:val="0"/>
              <w:suppressLineNumbers w:val="0"/>
              <w:kinsoku/>
              <w:wordWrap/>
              <w:overflowPunct w:val="0"/>
              <w:topLinePunct w:val="0"/>
              <w:autoSpaceDE/>
              <w:autoSpaceDN/>
              <w:bidi w:val="0"/>
              <w:adjustRightInd/>
              <w:spacing w:before="0" w:beforeAutospacing="0" w:after="0" w:afterAutospacing="0" w:line="300" w:lineRule="exact"/>
              <w:ind w:left="0" w:right="0"/>
              <w:jc w:val="center"/>
              <w:rPr>
                <w:rFonts w:hint="eastAsia" w:ascii="黑体" w:hAnsi="黑体" w:eastAsia="黑体" w:cs="黑体"/>
                <w:b w:val="0"/>
                <w:bCs w:val="0"/>
                <w:i w:val="0"/>
                <w:iCs w:val="0"/>
                <w:color w:val="auto"/>
                <w:sz w:val="21"/>
                <w:szCs w:val="21"/>
                <w:highlight w:val="none"/>
                <w:lang w:eastAsia="zh-CN"/>
              </w:rPr>
            </w:pPr>
            <w:r>
              <w:rPr>
                <w:rFonts w:hint="eastAsia" w:ascii="黑体" w:hAnsi="黑体" w:eastAsia="黑体" w:cs="黑体"/>
                <w:b w:val="0"/>
                <w:bCs w:val="0"/>
                <w:i w:val="0"/>
                <w:iCs w:val="0"/>
                <w:color w:val="auto"/>
                <w:sz w:val="21"/>
                <w:szCs w:val="21"/>
                <w:highlight w:val="none"/>
              </w:rPr>
              <w:t>项目资金</w:t>
            </w:r>
            <w:r>
              <w:rPr>
                <w:rFonts w:hint="eastAsia" w:ascii="黑体" w:hAnsi="黑体" w:eastAsia="黑体" w:cs="黑体"/>
                <w:b w:val="0"/>
                <w:bCs w:val="0"/>
                <w:i w:val="0"/>
                <w:iCs w:val="0"/>
                <w:color w:val="auto"/>
                <w:sz w:val="21"/>
                <w:szCs w:val="21"/>
                <w:highlight w:val="none"/>
                <w:lang w:eastAsia="zh-CN"/>
              </w:rPr>
              <w:t>（万元）</w:t>
            </w:r>
          </w:p>
        </w:tc>
        <w:tc>
          <w:tcPr>
            <w:tcW w:w="5666" w:type="dxa"/>
            <w:gridSpan w:val="2"/>
            <w:noWrap w:val="0"/>
            <w:vAlign w:val="center"/>
          </w:tcPr>
          <w:p w14:paraId="2D773D5F">
            <w:pPr>
              <w:keepNext w:val="0"/>
              <w:keepLines w:val="0"/>
              <w:pageBreakBefore w:val="0"/>
              <w:suppressLineNumbers w:val="0"/>
              <w:kinsoku/>
              <w:wordWrap/>
              <w:overflowPunct w:val="0"/>
              <w:topLinePunct w:val="0"/>
              <w:autoSpaceDE/>
              <w:autoSpaceDN/>
              <w:bidi w:val="0"/>
              <w:adjustRightInd/>
              <w:spacing w:before="0" w:beforeAutospacing="0" w:after="0" w:afterAutospacing="0" w:line="300" w:lineRule="exact"/>
              <w:ind w:left="0" w:right="0"/>
              <w:jc w:val="center"/>
              <w:rPr>
                <w:rFonts w:hint="eastAsia" w:ascii="黑体" w:hAnsi="黑体" w:eastAsia="黑体" w:cs="黑体"/>
                <w:b w:val="0"/>
                <w:bCs w:val="0"/>
                <w:i w:val="0"/>
                <w:iCs w:val="0"/>
                <w:color w:val="auto"/>
                <w:sz w:val="21"/>
                <w:szCs w:val="21"/>
                <w:highlight w:val="none"/>
              </w:rPr>
            </w:pPr>
            <w:r>
              <w:rPr>
                <w:rFonts w:hint="eastAsia" w:ascii="黑体" w:hAnsi="黑体" w:eastAsia="黑体" w:cs="黑体"/>
                <w:b w:val="0"/>
                <w:bCs w:val="0"/>
                <w:i w:val="0"/>
                <w:iCs w:val="0"/>
                <w:color w:val="auto"/>
                <w:sz w:val="21"/>
                <w:szCs w:val="21"/>
                <w:highlight w:val="none"/>
              </w:rPr>
              <w:t>年度实施计划</w:t>
            </w:r>
          </w:p>
        </w:tc>
      </w:tr>
      <w:tr w14:paraId="04043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blHeader/>
          <w:jc w:val="center"/>
        </w:trPr>
        <w:tc>
          <w:tcPr>
            <w:tcW w:w="523" w:type="dxa"/>
            <w:vMerge w:val="continue"/>
            <w:noWrap w:val="0"/>
            <w:vAlign w:val="center"/>
          </w:tcPr>
          <w:p w14:paraId="635A73E3">
            <w:pPr>
              <w:keepNext w:val="0"/>
              <w:keepLines w:val="0"/>
              <w:pageBreakBefore w:val="0"/>
              <w:suppressLineNumbers w:val="0"/>
              <w:kinsoku/>
              <w:wordWrap/>
              <w:overflowPunct w:val="0"/>
              <w:topLinePunct w:val="0"/>
              <w:autoSpaceDE/>
              <w:autoSpaceDN/>
              <w:bidi w:val="0"/>
              <w:adjustRightInd/>
              <w:spacing w:before="0" w:beforeAutospacing="0" w:after="0" w:afterAutospacing="0" w:line="300" w:lineRule="exact"/>
              <w:ind w:left="0" w:right="0"/>
              <w:jc w:val="center"/>
              <w:rPr>
                <w:rFonts w:hint="default" w:ascii="Times New Roman" w:hAnsi="Times New Roman" w:eastAsia="仿宋_GB2312" w:cs="Times New Roman"/>
                <w:b/>
                <w:bCs/>
                <w:i w:val="0"/>
                <w:iCs w:val="0"/>
                <w:color w:val="auto"/>
                <w:sz w:val="21"/>
                <w:szCs w:val="21"/>
                <w:highlight w:val="none"/>
              </w:rPr>
            </w:pPr>
          </w:p>
        </w:tc>
        <w:tc>
          <w:tcPr>
            <w:tcW w:w="782" w:type="dxa"/>
            <w:vMerge w:val="continue"/>
            <w:noWrap w:val="0"/>
            <w:vAlign w:val="center"/>
          </w:tcPr>
          <w:p w14:paraId="017B40C5">
            <w:pPr>
              <w:keepNext w:val="0"/>
              <w:keepLines w:val="0"/>
              <w:pageBreakBefore w:val="0"/>
              <w:suppressLineNumbers w:val="0"/>
              <w:kinsoku/>
              <w:wordWrap/>
              <w:overflowPunct w:val="0"/>
              <w:topLinePunct w:val="0"/>
              <w:autoSpaceDE/>
              <w:autoSpaceDN/>
              <w:bidi w:val="0"/>
              <w:adjustRightInd/>
              <w:spacing w:before="0" w:beforeAutospacing="0" w:after="0" w:afterAutospacing="0" w:line="300" w:lineRule="exact"/>
              <w:ind w:left="0" w:right="0"/>
              <w:jc w:val="center"/>
              <w:rPr>
                <w:rFonts w:hint="default" w:ascii="Times New Roman" w:hAnsi="Times New Roman" w:eastAsia="仿宋_GB2312" w:cs="Times New Roman"/>
                <w:b/>
                <w:bCs/>
                <w:i w:val="0"/>
                <w:iCs w:val="0"/>
                <w:color w:val="auto"/>
                <w:sz w:val="21"/>
                <w:szCs w:val="21"/>
                <w:highlight w:val="none"/>
              </w:rPr>
            </w:pPr>
          </w:p>
        </w:tc>
        <w:tc>
          <w:tcPr>
            <w:tcW w:w="881" w:type="dxa"/>
            <w:vMerge w:val="continue"/>
            <w:noWrap w:val="0"/>
            <w:vAlign w:val="center"/>
          </w:tcPr>
          <w:p w14:paraId="4227AE70">
            <w:pPr>
              <w:keepNext w:val="0"/>
              <w:keepLines w:val="0"/>
              <w:pageBreakBefore w:val="0"/>
              <w:suppressLineNumbers w:val="0"/>
              <w:kinsoku/>
              <w:wordWrap/>
              <w:overflowPunct w:val="0"/>
              <w:topLinePunct w:val="0"/>
              <w:autoSpaceDE/>
              <w:autoSpaceDN/>
              <w:bidi w:val="0"/>
              <w:adjustRightInd/>
              <w:spacing w:before="0" w:beforeAutospacing="0" w:after="0" w:afterAutospacing="0" w:line="300" w:lineRule="exact"/>
              <w:ind w:left="0" w:right="0"/>
              <w:jc w:val="center"/>
              <w:rPr>
                <w:rFonts w:hint="default" w:ascii="Times New Roman" w:hAnsi="Times New Roman" w:eastAsia="仿宋_GB2312" w:cs="Times New Roman"/>
                <w:b/>
                <w:bCs/>
                <w:i w:val="0"/>
                <w:iCs w:val="0"/>
                <w:color w:val="auto"/>
                <w:sz w:val="21"/>
                <w:szCs w:val="21"/>
                <w:highlight w:val="none"/>
              </w:rPr>
            </w:pPr>
          </w:p>
        </w:tc>
        <w:tc>
          <w:tcPr>
            <w:tcW w:w="975" w:type="dxa"/>
            <w:vMerge w:val="continue"/>
            <w:noWrap w:val="0"/>
            <w:vAlign w:val="center"/>
          </w:tcPr>
          <w:p w14:paraId="13E10865">
            <w:pPr>
              <w:keepNext w:val="0"/>
              <w:keepLines w:val="0"/>
              <w:pageBreakBefore w:val="0"/>
              <w:suppressLineNumbers w:val="0"/>
              <w:kinsoku/>
              <w:wordWrap/>
              <w:overflowPunct w:val="0"/>
              <w:topLinePunct w:val="0"/>
              <w:autoSpaceDE/>
              <w:autoSpaceDN/>
              <w:bidi w:val="0"/>
              <w:adjustRightInd/>
              <w:spacing w:before="0" w:beforeAutospacing="0" w:after="0" w:afterAutospacing="0" w:line="300" w:lineRule="exact"/>
              <w:ind w:left="0" w:right="0"/>
              <w:jc w:val="center"/>
              <w:rPr>
                <w:rFonts w:hint="default" w:ascii="Times New Roman" w:hAnsi="Times New Roman" w:eastAsia="仿宋_GB2312" w:cs="Times New Roman"/>
                <w:b/>
                <w:bCs/>
                <w:i w:val="0"/>
                <w:iCs w:val="0"/>
                <w:color w:val="auto"/>
                <w:sz w:val="21"/>
                <w:szCs w:val="21"/>
                <w:highlight w:val="none"/>
              </w:rPr>
            </w:pPr>
          </w:p>
        </w:tc>
        <w:tc>
          <w:tcPr>
            <w:tcW w:w="2681" w:type="dxa"/>
            <w:vMerge w:val="continue"/>
            <w:noWrap w:val="0"/>
            <w:vAlign w:val="center"/>
          </w:tcPr>
          <w:p w14:paraId="7CDBBE78">
            <w:pPr>
              <w:keepNext w:val="0"/>
              <w:keepLines w:val="0"/>
              <w:pageBreakBefore w:val="0"/>
              <w:suppressLineNumbers w:val="0"/>
              <w:kinsoku/>
              <w:wordWrap/>
              <w:overflowPunct w:val="0"/>
              <w:topLinePunct w:val="0"/>
              <w:autoSpaceDE/>
              <w:autoSpaceDN/>
              <w:bidi w:val="0"/>
              <w:adjustRightInd/>
              <w:spacing w:before="0" w:beforeAutospacing="0" w:after="0" w:afterAutospacing="0" w:line="300" w:lineRule="exact"/>
              <w:ind w:left="0" w:right="0"/>
              <w:jc w:val="center"/>
              <w:rPr>
                <w:rFonts w:hint="default" w:ascii="Times New Roman" w:hAnsi="Times New Roman" w:eastAsia="仿宋_GB2312" w:cs="Times New Roman"/>
                <w:b/>
                <w:bCs/>
                <w:i w:val="0"/>
                <w:iCs w:val="0"/>
                <w:color w:val="auto"/>
                <w:sz w:val="21"/>
                <w:szCs w:val="21"/>
                <w:highlight w:val="none"/>
              </w:rPr>
            </w:pPr>
          </w:p>
        </w:tc>
        <w:tc>
          <w:tcPr>
            <w:tcW w:w="640" w:type="dxa"/>
            <w:noWrap w:val="0"/>
            <w:vAlign w:val="center"/>
          </w:tcPr>
          <w:p w14:paraId="1060670C">
            <w:pPr>
              <w:keepNext w:val="0"/>
              <w:keepLines w:val="0"/>
              <w:pageBreakBefore w:val="0"/>
              <w:suppressLineNumbers w:val="0"/>
              <w:kinsoku/>
              <w:wordWrap/>
              <w:overflowPunct w:val="0"/>
              <w:topLinePunct w:val="0"/>
              <w:autoSpaceDE/>
              <w:autoSpaceDN/>
              <w:bidi w:val="0"/>
              <w:adjustRightInd/>
              <w:spacing w:before="0" w:beforeAutospacing="0" w:after="0" w:afterAutospacing="0" w:line="300" w:lineRule="exact"/>
              <w:ind w:left="0" w:right="0"/>
              <w:jc w:val="center"/>
              <w:rPr>
                <w:rFonts w:hint="eastAsia" w:ascii="黑体" w:hAnsi="黑体" w:eastAsia="黑体" w:cs="黑体"/>
                <w:b w:val="0"/>
                <w:bCs w:val="0"/>
                <w:i w:val="0"/>
                <w:iCs w:val="0"/>
                <w:color w:val="auto"/>
                <w:sz w:val="21"/>
                <w:szCs w:val="21"/>
                <w:highlight w:val="none"/>
              </w:rPr>
            </w:pPr>
            <w:r>
              <w:rPr>
                <w:rFonts w:hint="eastAsia" w:ascii="黑体" w:hAnsi="黑体" w:eastAsia="黑体" w:cs="黑体"/>
                <w:b w:val="0"/>
                <w:bCs w:val="0"/>
                <w:i w:val="0"/>
                <w:iCs w:val="0"/>
                <w:color w:val="auto"/>
                <w:sz w:val="21"/>
                <w:szCs w:val="21"/>
                <w:highlight w:val="none"/>
              </w:rPr>
              <w:t>合计</w:t>
            </w:r>
          </w:p>
        </w:tc>
        <w:tc>
          <w:tcPr>
            <w:tcW w:w="825" w:type="dxa"/>
            <w:noWrap w:val="0"/>
            <w:vAlign w:val="center"/>
          </w:tcPr>
          <w:p w14:paraId="0946921B">
            <w:pPr>
              <w:keepNext w:val="0"/>
              <w:keepLines w:val="0"/>
              <w:pageBreakBefore w:val="0"/>
              <w:suppressLineNumbers w:val="0"/>
              <w:kinsoku/>
              <w:wordWrap/>
              <w:overflowPunct w:val="0"/>
              <w:topLinePunct w:val="0"/>
              <w:autoSpaceDE/>
              <w:autoSpaceDN/>
              <w:bidi w:val="0"/>
              <w:adjustRightInd/>
              <w:snapToGrid/>
              <w:spacing w:before="0" w:beforeAutospacing="0" w:after="0" w:afterAutospacing="0" w:line="300" w:lineRule="exact"/>
              <w:ind w:left="-57" w:leftChars="0" w:right="-57" w:rightChars="0"/>
              <w:jc w:val="center"/>
              <w:rPr>
                <w:rFonts w:hint="eastAsia" w:ascii="黑体" w:hAnsi="黑体" w:eastAsia="黑体" w:cs="黑体"/>
                <w:b w:val="0"/>
                <w:bCs w:val="0"/>
                <w:i w:val="0"/>
                <w:iCs w:val="0"/>
                <w:color w:val="auto"/>
                <w:sz w:val="21"/>
                <w:szCs w:val="21"/>
                <w:highlight w:val="none"/>
              </w:rPr>
            </w:pPr>
            <w:r>
              <w:rPr>
                <w:rFonts w:hint="eastAsia" w:ascii="黑体" w:hAnsi="黑体" w:eastAsia="黑体" w:cs="黑体"/>
                <w:b w:val="0"/>
                <w:bCs w:val="0"/>
                <w:i w:val="0"/>
                <w:iCs w:val="0"/>
                <w:color w:val="auto"/>
                <w:sz w:val="21"/>
                <w:szCs w:val="21"/>
                <w:highlight w:val="none"/>
                <w:lang w:eastAsia="zh-CN"/>
              </w:rPr>
              <w:t>中央</w:t>
            </w:r>
            <w:r>
              <w:rPr>
                <w:rFonts w:hint="eastAsia" w:ascii="黑体" w:hAnsi="黑体" w:eastAsia="黑体" w:cs="黑体"/>
                <w:b w:val="0"/>
                <w:bCs w:val="0"/>
                <w:i w:val="0"/>
                <w:iCs w:val="0"/>
                <w:color w:val="auto"/>
                <w:sz w:val="21"/>
                <w:szCs w:val="21"/>
                <w:highlight w:val="none"/>
              </w:rPr>
              <w:t>财政补助资金</w:t>
            </w:r>
          </w:p>
        </w:tc>
        <w:tc>
          <w:tcPr>
            <w:tcW w:w="750" w:type="dxa"/>
            <w:noWrap w:val="0"/>
            <w:vAlign w:val="center"/>
          </w:tcPr>
          <w:p w14:paraId="2D5513DB">
            <w:pPr>
              <w:keepNext w:val="0"/>
              <w:keepLines w:val="0"/>
              <w:pageBreakBefore w:val="0"/>
              <w:suppressLineNumbers w:val="0"/>
              <w:kinsoku/>
              <w:wordWrap/>
              <w:overflowPunct w:val="0"/>
              <w:topLinePunct w:val="0"/>
              <w:autoSpaceDE/>
              <w:autoSpaceDN/>
              <w:bidi w:val="0"/>
              <w:adjustRightInd/>
              <w:snapToGrid/>
              <w:spacing w:before="0" w:beforeAutospacing="0" w:after="0" w:afterAutospacing="0" w:line="300" w:lineRule="exact"/>
              <w:ind w:left="-57" w:leftChars="0" w:right="-57" w:rightChars="0"/>
              <w:jc w:val="center"/>
              <w:rPr>
                <w:rFonts w:hint="eastAsia" w:ascii="黑体" w:hAnsi="黑体" w:eastAsia="黑体" w:cs="黑体"/>
                <w:b w:val="0"/>
                <w:bCs w:val="0"/>
                <w:i w:val="0"/>
                <w:iCs w:val="0"/>
                <w:color w:val="auto"/>
                <w:sz w:val="21"/>
                <w:szCs w:val="21"/>
                <w:highlight w:val="none"/>
              </w:rPr>
            </w:pPr>
            <w:r>
              <w:rPr>
                <w:rFonts w:hint="eastAsia" w:ascii="黑体" w:hAnsi="黑体" w:eastAsia="黑体" w:cs="黑体"/>
                <w:b w:val="0"/>
                <w:bCs w:val="0"/>
                <w:i w:val="0"/>
                <w:iCs w:val="0"/>
                <w:color w:val="auto"/>
                <w:sz w:val="21"/>
                <w:szCs w:val="21"/>
                <w:highlight w:val="none"/>
              </w:rPr>
              <w:t>市</w:t>
            </w:r>
            <w:r>
              <w:rPr>
                <w:rFonts w:hint="eastAsia" w:ascii="黑体" w:hAnsi="黑体" w:eastAsia="黑体" w:cs="黑体"/>
                <w:b w:val="0"/>
                <w:bCs w:val="0"/>
                <w:i w:val="0"/>
                <w:iCs w:val="0"/>
                <w:color w:val="auto"/>
                <w:sz w:val="21"/>
                <w:szCs w:val="21"/>
                <w:highlight w:val="none"/>
                <w:lang w:eastAsia="zh-CN"/>
              </w:rPr>
              <w:t>级</w:t>
            </w:r>
            <w:r>
              <w:rPr>
                <w:rFonts w:hint="eastAsia" w:ascii="黑体" w:hAnsi="黑体" w:eastAsia="黑体" w:cs="黑体"/>
                <w:b w:val="0"/>
                <w:bCs w:val="0"/>
                <w:i w:val="0"/>
                <w:iCs w:val="0"/>
                <w:color w:val="auto"/>
                <w:sz w:val="21"/>
                <w:szCs w:val="21"/>
                <w:highlight w:val="none"/>
              </w:rPr>
              <w:t>财政补助资金</w:t>
            </w:r>
          </w:p>
        </w:tc>
        <w:tc>
          <w:tcPr>
            <w:tcW w:w="885" w:type="dxa"/>
            <w:noWrap w:val="0"/>
            <w:vAlign w:val="center"/>
          </w:tcPr>
          <w:p w14:paraId="0E672233">
            <w:pPr>
              <w:keepNext w:val="0"/>
              <w:keepLines w:val="0"/>
              <w:pageBreakBefore w:val="0"/>
              <w:widowControl/>
              <w:suppressLineNumbers w:val="0"/>
              <w:kinsoku/>
              <w:wordWrap/>
              <w:overflowPunct w:val="0"/>
              <w:topLinePunct w:val="0"/>
              <w:autoSpaceDE/>
              <w:autoSpaceDN/>
              <w:bidi w:val="0"/>
              <w:adjustRightInd/>
              <w:snapToGrid/>
              <w:spacing w:before="0" w:beforeAutospacing="0" w:after="0" w:afterAutospacing="0" w:line="300" w:lineRule="exact"/>
              <w:ind w:left="0" w:right="0"/>
              <w:jc w:val="center"/>
              <w:textAlignment w:val="center"/>
              <w:rPr>
                <w:rFonts w:hint="eastAsia" w:ascii="黑体" w:hAnsi="黑体" w:eastAsia="黑体" w:cs="黑体"/>
                <w:b w:val="0"/>
                <w:bCs w:val="0"/>
                <w:i w:val="0"/>
                <w:iCs w:val="0"/>
                <w:color w:val="auto"/>
                <w:sz w:val="21"/>
                <w:szCs w:val="21"/>
                <w:highlight w:val="none"/>
              </w:rPr>
            </w:pPr>
            <w:r>
              <w:rPr>
                <w:rFonts w:hint="eastAsia" w:ascii="黑体" w:hAnsi="黑体" w:eastAsia="黑体" w:cs="黑体"/>
                <w:b w:val="0"/>
                <w:bCs w:val="0"/>
                <w:i w:val="0"/>
                <w:iCs w:val="0"/>
                <w:color w:val="auto"/>
                <w:kern w:val="0"/>
                <w:sz w:val="21"/>
                <w:szCs w:val="21"/>
                <w:highlight w:val="none"/>
                <w:u w:val="none"/>
                <w:lang w:val="en-US" w:eastAsia="zh-CN" w:bidi="ar"/>
              </w:rPr>
              <w:t>旗</w:t>
            </w:r>
            <w:r>
              <w:rPr>
                <w:rFonts w:hint="eastAsia" w:ascii="黑体" w:hAnsi="黑体" w:eastAsia="黑体" w:cs="黑体"/>
                <w:b w:val="0"/>
                <w:bCs w:val="0"/>
                <w:i w:val="0"/>
                <w:iCs w:val="0"/>
                <w:color w:val="auto"/>
                <w:sz w:val="21"/>
                <w:szCs w:val="21"/>
                <w:highlight w:val="none"/>
                <w:lang w:val="en-US" w:eastAsia="zh-CN"/>
              </w:rPr>
              <w:t>县区财政补助资金</w:t>
            </w:r>
          </w:p>
        </w:tc>
        <w:tc>
          <w:tcPr>
            <w:tcW w:w="660" w:type="dxa"/>
            <w:noWrap w:val="0"/>
            <w:vAlign w:val="center"/>
          </w:tcPr>
          <w:p w14:paraId="5FA93650">
            <w:pPr>
              <w:keepNext w:val="0"/>
              <w:keepLines w:val="0"/>
              <w:pageBreakBefore w:val="0"/>
              <w:widowControl/>
              <w:suppressLineNumbers w:val="0"/>
              <w:kinsoku/>
              <w:wordWrap/>
              <w:overflowPunct w:val="0"/>
              <w:topLinePunct w:val="0"/>
              <w:autoSpaceDE/>
              <w:autoSpaceDN/>
              <w:bidi w:val="0"/>
              <w:adjustRightInd/>
              <w:snapToGrid/>
              <w:spacing w:before="0" w:beforeAutospacing="0" w:after="0" w:afterAutospacing="0" w:line="300" w:lineRule="exact"/>
              <w:ind w:left="0" w:right="0"/>
              <w:jc w:val="center"/>
              <w:textAlignment w:val="center"/>
              <w:rPr>
                <w:rFonts w:hint="eastAsia" w:ascii="黑体" w:hAnsi="黑体" w:eastAsia="黑体" w:cs="黑体"/>
                <w:b w:val="0"/>
                <w:bCs w:val="0"/>
                <w:i w:val="0"/>
                <w:iCs w:val="0"/>
                <w:color w:val="auto"/>
                <w:sz w:val="21"/>
                <w:szCs w:val="21"/>
                <w:highlight w:val="none"/>
                <w:lang w:val="en-US"/>
              </w:rPr>
            </w:pPr>
            <w:r>
              <w:rPr>
                <w:rFonts w:hint="eastAsia" w:ascii="黑体" w:hAnsi="黑体" w:eastAsia="黑体" w:cs="黑体"/>
                <w:b w:val="0"/>
                <w:bCs w:val="0"/>
                <w:i w:val="0"/>
                <w:iCs w:val="0"/>
                <w:color w:val="auto"/>
                <w:kern w:val="0"/>
                <w:sz w:val="21"/>
                <w:szCs w:val="21"/>
                <w:highlight w:val="none"/>
                <w:u w:val="none"/>
                <w:lang w:val="en-US" w:eastAsia="zh-CN" w:bidi="ar"/>
              </w:rPr>
              <w:t>机构自筹</w:t>
            </w:r>
          </w:p>
        </w:tc>
        <w:tc>
          <w:tcPr>
            <w:tcW w:w="3022" w:type="dxa"/>
            <w:noWrap w:val="0"/>
            <w:vAlign w:val="center"/>
          </w:tcPr>
          <w:p w14:paraId="68E6D2E0">
            <w:pPr>
              <w:keepNext w:val="0"/>
              <w:keepLines w:val="0"/>
              <w:pageBreakBefore w:val="0"/>
              <w:suppressLineNumbers w:val="0"/>
              <w:kinsoku/>
              <w:wordWrap/>
              <w:overflowPunct w:val="0"/>
              <w:topLinePunct w:val="0"/>
              <w:autoSpaceDE/>
              <w:autoSpaceDN/>
              <w:bidi w:val="0"/>
              <w:adjustRightInd/>
              <w:spacing w:before="0" w:beforeAutospacing="0" w:after="0" w:afterAutospacing="0" w:line="300" w:lineRule="exact"/>
              <w:ind w:left="0" w:right="0"/>
              <w:jc w:val="center"/>
              <w:rPr>
                <w:rFonts w:hint="default" w:ascii="Times New Roman" w:hAnsi="Times New Roman" w:eastAsia="仿宋_GB2312" w:cs="Times New Roman"/>
                <w:b/>
                <w:bCs/>
                <w:i w:val="0"/>
                <w:iCs w:val="0"/>
                <w:color w:val="auto"/>
                <w:sz w:val="21"/>
                <w:szCs w:val="21"/>
                <w:highlight w:val="none"/>
                <w:lang w:eastAsia="zh-CN"/>
              </w:rPr>
            </w:pPr>
            <w:r>
              <w:rPr>
                <w:rFonts w:hint="default" w:ascii="Times New Roman" w:hAnsi="Times New Roman" w:eastAsia="仿宋_GB2312" w:cs="Times New Roman"/>
                <w:b/>
                <w:bCs/>
                <w:i w:val="0"/>
                <w:iCs w:val="0"/>
                <w:color w:val="auto"/>
                <w:sz w:val="21"/>
                <w:szCs w:val="21"/>
                <w:highlight w:val="none"/>
              </w:rPr>
              <w:t>202</w:t>
            </w:r>
            <w:r>
              <w:rPr>
                <w:rFonts w:hint="default" w:ascii="Times New Roman" w:hAnsi="Times New Roman" w:eastAsia="仿宋_GB2312" w:cs="Times New Roman"/>
                <w:b/>
                <w:bCs/>
                <w:i w:val="0"/>
                <w:iCs w:val="0"/>
                <w:color w:val="auto"/>
                <w:sz w:val="21"/>
                <w:szCs w:val="21"/>
                <w:highlight w:val="none"/>
                <w:lang w:val="en-US" w:eastAsia="zh-CN"/>
              </w:rPr>
              <w:t>6</w:t>
            </w:r>
          </w:p>
        </w:tc>
        <w:tc>
          <w:tcPr>
            <w:tcW w:w="2644" w:type="dxa"/>
            <w:noWrap w:val="0"/>
            <w:vAlign w:val="center"/>
          </w:tcPr>
          <w:p w14:paraId="6C8FCA7B">
            <w:pPr>
              <w:keepNext w:val="0"/>
              <w:keepLines w:val="0"/>
              <w:pageBreakBefore w:val="0"/>
              <w:suppressLineNumbers w:val="0"/>
              <w:kinsoku/>
              <w:wordWrap/>
              <w:overflowPunct w:val="0"/>
              <w:topLinePunct w:val="0"/>
              <w:autoSpaceDE/>
              <w:autoSpaceDN/>
              <w:bidi w:val="0"/>
              <w:adjustRightInd/>
              <w:spacing w:before="0" w:beforeAutospacing="0" w:after="0" w:afterAutospacing="0" w:line="300" w:lineRule="exact"/>
              <w:ind w:left="0" w:right="0"/>
              <w:jc w:val="center"/>
              <w:rPr>
                <w:rFonts w:hint="default" w:ascii="Times New Roman" w:hAnsi="Times New Roman" w:eastAsia="仿宋_GB2312" w:cs="Times New Roman"/>
                <w:b/>
                <w:bCs/>
                <w:i w:val="0"/>
                <w:iCs w:val="0"/>
                <w:color w:val="auto"/>
                <w:sz w:val="21"/>
                <w:szCs w:val="21"/>
                <w:highlight w:val="none"/>
                <w:lang w:eastAsia="zh-CN"/>
              </w:rPr>
            </w:pPr>
            <w:r>
              <w:rPr>
                <w:rFonts w:hint="default" w:ascii="Times New Roman" w:hAnsi="Times New Roman" w:eastAsia="仿宋_GB2312" w:cs="Times New Roman"/>
                <w:b/>
                <w:bCs/>
                <w:i w:val="0"/>
                <w:iCs w:val="0"/>
                <w:color w:val="auto"/>
                <w:sz w:val="21"/>
                <w:szCs w:val="21"/>
                <w:highlight w:val="none"/>
              </w:rPr>
              <w:t>202</w:t>
            </w:r>
            <w:r>
              <w:rPr>
                <w:rFonts w:hint="default" w:ascii="Times New Roman" w:hAnsi="Times New Roman" w:eastAsia="仿宋_GB2312" w:cs="Times New Roman"/>
                <w:b/>
                <w:bCs/>
                <w:i w:val="0"/>
                <w:iCs w:val="0"/>
                <w:color w:val="auto"/>
                <w:sz w:val="21"/>
                <w:szCs w:val="21"/>
                <w:highlight w:val="none"/>
                <w:lang w:val="en-US" w:eastAsia="zh-CN"/>
              </w:rPr>
              <w:t>7</w:t>
            </w:r>
          </w:p>
        </w:tc>
      </w:tr>
      <w:tr w14:paraId="4DEB1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523" w:type="dxa"/>
            <w:noWrap w:val="0"/>
            <w:vAlign w:val="center"/>
          </w:tcPr>
          <w:p w14:paraId="1F7E50A2">
            <w:pPr>
              <w:keepNext w:val="0"/>
              <w:keepLines w:val="0"/>
              <w:pageBreakBefore w:val="0"/>
              <w:widowControl/>
              <w:suppressLineNumbers w:val="0"/>
              <w:kinsoku/>
              <w:wordWrap/>
              <w:overflowPunct w:val="0"/>
              <w:topLinePunct w:val="0"/>
              <w:autoSpaceDE/>
              <w:autoSpaceDN/>
              <w:bidi w:val="0"/>
              <w:adjustRightInd/>
              <w:snapToGrid/>
              <w:spacing w:before="0" w:beforeAutospacing="0" w:after="0" w:afterAutospacing="0" w:line="320" w:lineRule="exact"/>
              <w:ind w:left="0" w:leftChars="0" w:right="0" w:rightChars="0"/>
              <w:jc w:val="center"/>
              <w:textAlignment w:val="center"/>
              <w:rPr>
                <w:rFonts w:hint="default" w:ascii="Times New Roman" w:hAnsi="Times New Roman" w:eastAsia="仿宋_GB2312" w:cs="Times New Roman"/>
                <w:b w:val="0"/>
                <w:bCs w:val="0"/>
                <w:color w:val="auto"/>
                <w:sz w:val="21"/>
                <w:szCs w:val="21"/>
                <w:highlight w:val="none"/>
                <w:lang w:val="en-US" w:eastAsia="zh-CN"/>
              </w:rPr>
            </w:pPr>
            <w:r>
              <w:rPr>
                <w:rFonts w:hint="default" w:ascii="Times New Roman" w:hAnsi="Times New Roman" w:eastAsia="仿宋_GB2312" w:cs="Times New Roman"/>
                <w:b w:val="0"/>
                <w:bCs w:val="0"/>
                <w:color w:val="auto"/>
                <w:sz w:val="21"/>
                <w:szCs w:val="21"/>
                <w:highlight w:val="none"/>
                <w:lang w:val="en-US" w:eastAsia="zh-CN"/>
              </w:rPr>
              <w:t>1</w:t>
            </w:r>
          </w:p>
        </w:tc>
        <w:tc>
          <w:tcPr>
            <w:tcW w:w="782" w:type="dxa"/>
            <w:noWrap w:val="0"/>
            <w:vAlign w:val="center"/>
          </w:tcPr>
          <w:p w14:paraId="1BF67EDA">
            <w:pPr>
              <w:keepNext w:val="0"/>
              <w:keepLines w:val="0"/>
              <w:pageBreakBefore w:val="0"/>
              <w:suppressLineNumbers w:val="0"/>
              <w:kinsoku/>
              <w:wordWrap/>
              <w:overflowPunct w:val="0"/>
              <w:topLinePunct w:val="0"/>
              <w:autoSpaceDE/>
              <w:autoSpaceDN/>
              <w:bidi w:val="0"/>
              <w:adjustRightInd/>
              <w:snapToGrid/>
              <w:spacing w:before="0" w:beforeAutospacing="0" w:after="0" w:afterAutospacing="0" w:line="320" w:lineRule="exact"/>
              <w:ind w:left="0" w:leftChars="0" w:right="0" w:rightChars="0"/>
              <w:jc w:val="center"/>
              <w:rPr>
                <w:rFonts w:hint="default" w:ascii="Times New Roman" w:hAnsi="Times New Roman" w:eastAsia="仿宋_GB2312" w:cs="Times New Roman"/>
                <w:b w:val="0"/>
                <w:bCs w:val="0"/>
                <w:color w:val="auto"/>
                <w:sz w:val="21"/>
                <w:szCs w:val="21"/>
                <w:highlight w:val="none"/>
                <w:lang w:eastAsia="zh-CN"/>
              </w:rPr>
            </w:pPr>
            <w:r>
              <w:rPr>
                <w:rFonts w:hint="default" w:ascii="Times New Roman" w:hAnsi="Times New Roman" w:eastAsia="仿宋_GB2312" w:cs="Times New Roman"/>
                <w:b w:val="0"/>
                <w:bCs w:val="0"/>
                <w:color w:val="auto"/>
                <w:kern w:val="0"/>
                <w:sz w:val="21"/>
                <w:szCs w:val="21"/>
                <w:highlight w:val="none"/>
                <w:lang w:eastAsia="zh-CN" w:bidi="ar"/>
              </w:rPr>
              <w:t>旗县区临床重点专科群建设项目</w:t>
            </w:r>
          </w:p>
        </w:tc>
        <w:tc>
          <w:tcPr>
            <w:tcW w:w="881" w:type="dxa"/>
            <w:noWrap w:val="0"/>
            <w:vAlign w:val="center"/>
          </w:tcPr>
          <w:p w14:paraId="2DAD82D9">
            <w:pPr>
              <w:keepNext w:val="0"/>
              <w:keepLines w:val="0"/>
              <w:pageBreakBefore w:val="0"/>
              <w:suppressLineNumbers w:val="0"/>
              <w:kinsoku/>
              <w:wordWrap/>
              <w:overflowPunct w:val="0"/>
              <w:topLinePunct w:val="0"/>
              <w:autoSpaceDE/>
              <w:autoSpaceDN/>
              <w:bidi w:val="0"/>
              <w:adjustRightInd/>
              <w:snapToGrid/>
              <w:spacing w:before="0" w:beforeAutospacing="0" w:after="0" w:afterAutospacing="0" w:line="320" w:lineRule="exact"/>
              <w:ind w:left="0" w:leftChars="0" w:right="0" w:rightChars="0"/>
              <w:jc w:val="center"/>
              <w:rPr>
                <w:rFonts w:hint="default" w:ascii="Times New Roman" w:hAnsi="Times New Roman" w:eastAsia="仿宋_GB2312" w:cs="Times New Roman"/>
                <w:b w:val="0"/>
                <w:bCs w:val="0"/>
                <w:color w:val="auto"/>
                <w:sz w:val="21"/>
                <w:szCs w:val="21"/>
                <w:highlight w:val="none"/>
              </w:rPr>
            </w:pPr>
            <w:r>
              <w:rPr>
                <w:rFonts w:hint="default" w:ascii="Times New Roman" w:hAnsi="Times New Roman" w:eastAsia="仿宋_GB2312" w:cs="Times New Roman"/>
                <w:b w:val="0"/>
                <w:bCs w:val="0"/>
                <w:color w:val="auto"/>
                <w:sz w:val="21"/>
                <w:szCs w:val="21"/>
                <w:highlight w:val="none"/>
                <w:lang w:val="en-US" w:eastAsia="zh-CN"/>
              </w:rPr>
              <w:t>乌拉特后旗人民医院卒中中心建设项目</w:t>
            </w:r>
          </w:p>
        </w:tc>
        <w:tc>
          <w:tcPr>
            <w:tcW w:w="975" w:type="dxa"/>
            <w:noWrap w:val="0"/>
            <w:vAlign w:val="center"/>
          </w:tcPr>
          <w:p w14:paraId="176E4C1C">
            <w:pPr>
              <w:keepNext w:val="0"/>
              <w:keepLines w:val="0"/>
              <w:pageBreakBefore w:val="0"/>
              <w:suppressLineNumbers w:val="0"/>
              <w:kinsoku/>
              <w:wordWrap/>
              <w:overflowPunct w:val="0"/>
              <w:topLinePunct w:val="0"/>
              <w:autoSpaceDE/>
              <w:autoSpaceDN/>
              <w:bidi w:val="0"/>
              <w:adjustRightInd/>
              <w:snapToGrid/>
              <w:spacing w:before="0" w:beforeAutospacing="0" w:after="0" w:afterAutospacing="0" w:line="320" w:lineRule="exact"/>
              <w:ind w:left="0" w:leftChars="0" w:right="0" w:rightChars="0"/>
              <w:jc w:val="center"/>
              <w:rPr>
                <w:rFonts w:hint="default" w:ascii="Times New Roman" w:hAnsi="Times New Roman" w:eastAsia="仿宋_GB2312" w:cs="Times New Roman"/>
                <w:b w:val="0"/>
                <w:bCs w:val="0"/>
                <w:color w:val="auto"/>
                <w:kern w:val="0"/>
                <w:sz w:val="21"/>
                <w:szCs w:val="21"/>
                <w:highlight w:val="none"/>
              </w:rPr>
            </w:pPr>
            <w:r>
              <w:rPr>
                <w:rFonts w:hint="default" w:ascii="Times New Roman" w:hAnsi="Times New Roman" w:eastAsia="仿宋_GB2312" w:cs="Times New Roman"/>
                <w:b w:val="0"/>
                <w:bCs w:val="0"/>
                <w:color w:val="auto"/>
                <w:sz w:val="21"/>
                <w:szCs w:val="21"/>
                <w:highlight w:val="none"/>
                <w:lang w:val="en-US" w:eastAsia="zh-CN"/>
              </w:rPr>
              <w:t>乌拉特后旗人民</w:t>
            </w:r>
            <w:r>
              <w:rPr>
                <w:rFonts w:hint="default" w:ascii="Times New Roman" w:hAnsi="Times New Roman" w:eastAsia="仿宋_GB2312" w:cs="Times New Roman"/>
                <w:b w:val="0"/>
                <w:bCs w:val="0"/>
                <w:color w:val="auto"/>
                <w:sz w:val="21"/>
                <w:szCs w:val="21"/>
                <w:highlight w:val="none"/>
              </w:rPr>
              <w:t>医院</w:t>
            </w:r>
          </w:p>
        </w:tc>
        <w:tc>
          <w:tcPr>
            <w:tcW w:w="2681" w:type="dxa"/>
            <w:noWrap w:val="0"/>
            <w:vAlign w:val="center"/>
          </w:tcPr>
          <w:p w14:paraId="67542BF2">
            <w:pPr>
              <w:keepNext w:val="0"/>
              <w:keepLines w:val="0"/>
              <w:pageBreakBefore w:val="0"/>
              <w:widowControl w:val="0"/>
              <w:suppressLineNumbers w:val="0"/>
              <w:kinsoku/>
              <w:wordWrap/>
              <w:overflowPunct w:val="0"/>
              <w:topLinePunct w:val="0"/>
              <w:autoSpaceDE/>
              <w:autoSpaceDN/>
              <w:bidi w:val="0"/>
              <w:adjustRightInd/>
              <w:snapToGrid/>
              <w:spacing w:before="0" w:beforeAutospacing="0" w:after="0" w:afterAutospacing="0" w:line="260" w:lineRule="exact"/>
              <w:ind w:left="0" w:right="0"/>
              <w:jc w:val="both"/>
              <w:textAlignment w:val="auto"/>
              <w:rPr>
                <w:rFonts w:hint="default" w:ascii="Times New Roman" w:hAnsi="Times New Roman" w:eastAsia="仿宋_GB2312" w:cs="Times New Roman"/>
                <w:b w:val="0"/>
                <w:bCs w:val="0"/>
                <w:color w:val="auto"/>
                <w:sz w:val="21"/>
                <w:szCs w:val="21"/>
                <w:highlight w:val="none"/>
              </w:rPr>
            </w:pPr>
            <w:r>
              <w:rPr>
                <w:rFonts w:hint="default" w:ascii="Times New Roman" w:hAnsi="Times New Roman" w:eastAsia="仿宋_GB2312" w:cs="Times New Roman"/>
                <w:b w:val="0"/>
                <w:bCs w:val="0"/>
                <w:color w:val="auto"/>
                <w:sz w:val="21"/>
                <w:szCs w:val="21"/>
                <w:highlight w:val="none"/>
                <w:lang w:val="en-US" w:eastAsia="zh-CN"/>
              </w:rPr>
              <w:t>建成规范化、高效化的卒中中心，提高诊断准确率和治疗效果，提升对于卒中患者的综合救治能力和专业水平；配备所需设备，选派技术骨干外出培训，引进专家团队帮扶。</w:t>
            </w:r>
          </w:p>
        </w:tc>
        <w:tc>
          <w:tcPr>
            <w:tcW w:w="640" w:type="dxa"/>
            <w:noWrap w:val="0"/>
            <w:vAlign w:val="center"/>
          </w:tcPr>
          <w:p w14:paraId="216856CD">
            <w:pPr>
              <w:keepNext w:val="0"/>
              <w:keepLines w:val="0"/>
              <w:pageBreakBefore w:val="0"/>
              <w:widowControl/>
              <w:suppressLineNumbers w:val="0"/>
              <w:kinsoku/>
              <w:wordWrap/>
              <w:topLinePunct w:val="0"/>
              <w:autoSpaceDE/>
              <w:autoSpaceDN/>
              <w:bidi w:val="0"/>
              <w:adjustRightInd/>
              <w:snapToGrid/>
              <w:spacing w:before="0" w:beforeAutospacing="0" w:after="0" w:afterAutospacing="0" w:line="320" w:lineRule="exact"/>
              <w:ind w:left="0" w:leftChars="0" w:right="0" w:right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250</w:t>
            </w:r>
          </w:p>
        </w:tc>
        <w:tc>
          <w:tcPr>
            <w:tcW w:w="825" w:type="dxa"/>
            <w:noWrap w:val="0"/>
            <w:vAlign w:val="center"/>
          </w:tcPr>
          <w:p w14:paraId="06F9B6F8">
            <w:pPr>
              <w:keepNext w:val="0"/>
              <w:keepLines w:val="0"/>
              <w:pageBreakBefore w:val="0"/>
              <w:widowControl/>
              <w:suppressLineNumbers w:val="0"/>
              <w:kinsoku/>
              <w:wordWrap/>
              <w:topLinePunct w:val="0"/>
              <w:autoSpaceDE/>
              <w:autoSpaceDN/>
              <w:bidi w:val="0"/>
              <w:adjustRightInd/>
              <w:snapToGrid/>
              <w:spacing w:before="0" w:beforeAutospacing="0" w:after="0" w:afterAutospacing="0" w:line="320" w:lineRule="exact"/>
              <w:ind w:left="0" w:leftChars="0" w:right="0" w:right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154</w:t>
            </w:r>
          </w:p>
        </w:tc>
        <w:tc>
          <w:tcPr>
            <w:tcW w:w="750" w:type="dxa"/>
            <w:noWrap w:val="0"/>
            <w:vAlign w:val="center"/>
          </w:tcPr>
          <w:p w14:paraId="61E52FD8">
            <w:pPr>
              <w:keepNext w:val="0"/>
              <w:keepLines w:val="0"/>
              <w:pageBreakBefore w:val="0"/>
              <w:widowControl/>
              <w:suppressLineNumbers w:val="0"/>
              <w:kinsoku/>
              <w:wordWrap/>
              <w:topLinePunct w:val="0"/>
              <w:autoSpaceDE/>
              <w:autoSpaceDN/>
              <w:bidi w:val="0"/>
              <w:adjustRightInd/>
              <w:snapToGrid/>
              <w:spacing w:before="0" w:beforeAutospacing="0" w:after="0" w:afterAutospacing="0" w:line="320" w:lineRule="exact"/>
              <w:ind w:left="0" w:leftChars="0" w:right="0" w:right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0</w:t>
            </w:r>
          </w:p>
        </w:tc>
        <w:tc>
          <w:tcPr>
            <w:tcW w:w="885" w:type="dxa"/>
            <w:noWrap w:val="0"/>
            <w:vAlign w:val="center"/>
          </w:tcPr>
          <w:p w14:paraId="70937A1B">
            <w:pPr>
              <w:keepNext w:val="0"/>
              <w:keepLines w:val="0"/>
              <w:pageBreakBefore w:val="0"/>
              <w:widowControl/>
              <w:suppressLineNumbers w:val="0"/>
              <w:kinsoku/>
              <w:wordWrap/>
              <w:topLinePunct w:val="0"/>
              <w:autoSpaceDE/>
              <w:autoSpaceDN/>
              <w:bidi w:val="0"/>
              <w:adjustRightInd/>
              <w:snapToGrid/>
              <w:spacing w:before="0" w:beforeAutospacing="0" w:after="0" w:afterAutospacing="0" w:line="320" w:lineRule="exact"/>
              <w:ind w:left="0" w:leftChars="0" w:right="0" w:right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80</w:t>
            </w:r>
          </w:p>
        </w:tc>
        <w:tc>
          <w:tcPr>
            <w:tcW w:w="660" w:type="dxa"/>
            <w:noWrap w:val="0"/>
            <w:vAlign w:val="center"/>
          </w:tcPr>
          <w:p w14:paraId="4F64EF79">
            <w:pPr>
              <w:keepNext w:val="0"/>
              <w:keepLines w:val="0"/>
              <w:pageBreakBefore w:val="0"/>
              <w:widowControl/>
              <w:suppressLineNumbers w:val="0"/>
              <w:kinsoku/>
              <w:wordWrap/>
              <w:topLinePunct w:val="0"/>
              <w:autoSpaceDE/>
              <w:autoSpaceDN/>
              <w:bidi w:val="0"/>
              <w:adjustRightInd/>
              <w:snapToGrid/>
              <w:spacing w:before="0" w:beforeAutospacing="0" w:after="0" w:afterAutospacing="0" w:line="320" w:lineRule="exact"/>
              <w:ind w:left="0" w:leftChars="0" w:right="0" w:right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16</w:t>
            </w:r>
          </w:p>
        </w:tc>
        <w:tc>
          <w:tcPr>
            <w:tcW w:w="3022" w:type="dxa"/>
            <w:noWrap w:val="0"/>
            <w:vAlign w:val="top"/>
          </w:tcPr>
          <w:p w14:paraId="6D1B2FBB">
            <w:pPr>
              <w:keepNext w:val="0"/>
              <w:keepLines w:val="0"/>
              <w:pageBreakBefore w:val="0"/>
              <w:widowControl w:val="0"/>
              <w:numPr>
                <w:ilvl w:val="0"/>
                <w:numId w:val="0"/>
              </w:numPr>
              <w:kinsoku/>
              <w:wordWrap w:val="0"/>
              <w:overflowPunct/>
              <w:topLinePunct/>
              <w:autoSpaceDE/>
              <w:autoSpaceDN/>
              <w:bidi w:val="0"/>
              <w:adjustRightInd/>
              <w:snapToGrid/>
              <w:spacing w:line="240" w:lineRule="exact"/>
              <w:jc w:val="left"/>
              <w:textAlignment w:val="auto"/>
              <w:rPr>
                <w:rFonts w:hint="default" w:ascii="Times New Roman" w:hAnsi="Times New Roman" w:eastAsia="仿宋_GB2312" w:cs="Times New Roman"/>
                <w:b w:val="0"/>
                <w:bCs w:val="0"/>
                <w:color w:val="auto"/>
                <w:sz w:val="21"/>
                <w:szCs w:val="21"/>
                <w:highlight w:val="none"/>
                <w:lang w:val="en-US" w:eastAsia="zh-CN"/>
              </w:rPr>
            </w:pPr>
            <w:r>
              <w:rPr>
                <w:rFonts w:hint="default" w:ascii="Times New Roman" w:hAnsi="Times New Roman" w:eastAsia="仿宋_GB2312" w:cs="Times New Roman"/>
                <w:b/>
                <w:bCs/>
                <w:i w:val="0"/>
                <w:iCs w:val="0"/>
                <w:color w:val="000000"/>
                <w:kern w:val="0"/>
                <w:sz w:val="21"/>
                <w:szCs w:val="21"/>
                <w:u w:val="none"/>
                <w:lang w:val="en-US" w:eastAsia="zh-CN" w:bidi="ar"/>
              </w:rPr>
              <w:t>1.设备购置：</w:t>
            </w:r>
            <w:r>
              <w:rPr>
                <w:rFonts w:hint="default" w:ascii="Times New Roman" w:hAnsi="Times New Roman" w:eastAsia="仿宋_GB2312" w:cs="Times New Roman"/>
                <w:i w:val="0"/>
                <w:iCs w:val="0"/>
                <w:color w:val="000000"/>
                <w:kern w:val="0"/>
                <w:sz w:val="21"/>
                <w:szCs w:val="21"/>
                <w:u w:val="none"/>
                <w:lang w:val="en-US" w:eastAsia="zh-CN" w:bidi="ar"/>
              </w:rPr>
              <w:t>购置、安装调试所需设备数字化X射线摄影系统（DR）1台75万元</w:t>
            </w:r>
            <w:r>
              <w:rPr>
                <w:rFonts w:hint="default" w:ascii="Times New Roman" w:hAnsi="Times New Roman" w:eastAsia="仿宋_GB2312" w:cs="Times New Roman"/>
                <w:b/>
                <w:bCs/>
                <w:i w:val="0"/>
                <w:iCs w:val="0"/>
                <w:color w:val="000000"/>
                <w:kern w:val="0"/>
                <w:sz w:val="21"/>
                <w:szCs w:val="21"/>
                <w:u w:val="none"/>
                <w:lang w:val="en-US" w:eastAsia="zh-CN" w:bidi="ar"/>
              </w:rPr>
              <w:t>；2.</w:t>
            </w:r>
            <w:r>
              <w:rPr>
                <w:rFonts w:hint="default" w:ascii="Times New Roman" w:hAnsi="Times New Roman" w:eastAsia="仿宋_GB2312" w:cs="Times New Roman"/>
                <w:b/>
                <w:bCs/>
                <w:color w:val="auto"/>
                <w:sz w:val="21"/>
                <w:szCs w:val="21"/>
                <w:highlight w:val="none"/>
                <w:lang w:val="en-US" w:eastAsia="zh-CN"/>
              </w:rPr>
              <w:t>人才培养</w:t>
            </w:r>
            <w:r>
              <w:rPr>
                <w:rFonts w:hint="default" w:ascii="Times New Roman" w:hAnsi="Times New Roman" w:eastAsia="仿宋_GB2312" w:cs="Times New Roman"/>
                <w:b/>
                <w:bCs/>
                <w:i w:val="0"/>
                <w:iCs w:val="0"/>
                <w:color w:val="000000"/>
                <w:kern w:val="0"/>
                <w:sz w:val="21"/>
                <w:szCs w:val="21"/>
                <w:u w:val="none"/>
                <w:lang w:val="en-US" w:eastAsia="zh-CN" w:bidi="ar"/>
              </w:rPr>
              <w:t>：</w:t>
            </w:r>
            <w:r>
              <w:rPr>
                <w:rFonts w:hint="default" w:ascii="Times New Roman" w:hAnsi="Times New Roman" w:eastAsia="仿宋_GB2312" w:cs="Times New Roman"/>
                <w:i w:val="0"/>
                <w:iCs w:val="0"/>
                <w:color w:val="000000"/>
                <w:kern w:val="0"/>
                <w:sz w:val="21"/>
                <w:szCs w:val="21"/>
                <w:u w:val="none"/>
                <w:lang w:val="en-US" w:eastAsia="zh-CN" w:bidi="ar"/>
              </w:rPr>
              <w:t>开展</w:t>
            </w:r>
            <w:r>
              <w:rPr>
                <w:rFonts w:hint="default" w:ascii="Times New Roman" w:hAnsi="Times New Roman" w:eastAsia="仿宋_GB2312" w:cs="Times New Roman"/>
                <w:color w:val="auto"/>
                <w:kern w:val="0"/>
                <w:sz w:val="21"/>
                <w:szCs w:val="21"/>
                <w:highlight w:val="none"/>
                <w:lang w:val="en-US" w:eastAsia="zh-CN"/>
              </w:rPr>
              <w:t>医生、护士（业务骨干）培养20万元</w:t>
            </w:r>
            <w:r>
              <w:rPr>
                <w:rFonts w:hint="default" w:ascii="Times New Roman" w:hAnsi="Times New Roman" w:eastAsia="仿宋_GB2312" w:cs="Times New Roman"/>
                <w:i w:val="0"/>
                <w:iCs w:val="0"/>
                <w:color w:val="000000"/>
                <w:kern w:val="0"/>
                <w:sz w:val="21"/>
                <w:szCs w:val="21"/>
                <w:u w:val="none"/>
                <w:lang w:val="en-US" w:eastAsia="zh-CN" w:bidi="ar"/>
              </w:rPr>
              <w:t>，</w:t>
            </w:r>
            <w:r>
              <w:rPr>
                <w:rFonts w:hint="default" w:ascii="Times New Roman" w:hAnsi="Times New Roman" w:eastAsia="仿宋_GB2312" w:cs="Times New Roman"/>
                <w:b/>
                <w:bCs/>
                <w:color w:val="auto"/>
                <w:sz w:val="21"/>
                <w:szCs w:val="21"/>
                <w:highlight w:val="none"/>
                <w:lang w:val="en-US" w:eastAsia="zh-CN"/>
              </w:rPr>
              <w:t>3.人才引进：</w:t>
            </w:r>
            <w:r>
              <w:rPr>
                <w:rFonts w:hint="default" w:ascii="Times New Roman" w:hAnsi="Times New Roman" w:eastAsia="仿宋_GB2312" w:cs="Times New Roman"/>
                <w:i w:val="0"/>
                <w:iCs w:val="0"/>
                <w:color w:val="000000"/>
                <w:kern w:val="0"/>
                <w:sz w:val="21"/>
                <w:szCs w:val="21"/>
                <w:u w:val="none"/>
                <w:lang w:val="en-US" w:eastAsia="zh-CN" w:bidi="ar"/>
              </w:rPr>
              <w:t>从巴彦淖尔市医院等上级三甲医院引进1支专家团队帮扶指导67.5万元。</w:t>
            </w:r>
            <w:r>
              <w:rPr>
                <w:rFonts w:hint="default" w:ascii="Times New Roman" w:hAnsi="Times New Roman" w:eastAsia="仿宋_GB2312" w:cs="Times New Roman"/>
                <w:b/>
                <w:bCs/>
                <w:i w:val="0"/>
                <w:iCs w:val="0"/>
                <w:color w:val="000000"/>
                <w:kern w:val="0"/>
                <w:sz w:val="21"/>
                <w:szCs w:val="21"/>
                <w:u w:val="none"/>
                <w:lang w:val="en-US" w:eastAsia="zh-CN" w:bidi="ar"/>
              </w:rPr>
              <w:br w:type="textWrapping"/>
            </w:r>
            <w:r>
              <w:rPr>
                <w:rFonts w:hint="default" w:ascii="Times New Roman" w:hAnsi="Times New Roman" w:eastAsia="仿宋_GB2312" w:cs="Times New Roman"/>
                <w:b/>
                <w:bCs/>
                <w:i w:val="0"/>
                <w:iCs w:val="0"/>
                <w:color w:val="000000"/>
                <w:kern w:val="0"/>
                <w:sz w:val="21"/>
                <w:szCs w:val="21"/>
                <w:u w:val="none"/>
                <w:lang w:val="en-US" w:eastAsia="zh-CN" w:bidi="ar"/>
              </w:rPr>
              <w:t>年度投资计划：</w:t>
            </w:r>
            <w:r>
              <w:rPr>
                <w:rFonts w:hint="default" w:ascii="Times New Roman" w:hAnsi="Times New Roman" w:eastAsia="仿宋_GB2312" w:cs="Times New Roman"/>
                <w:i w:val="0"/>
                <w:iCs w:val="0"/>
                <w:color w:val="000000"/>
                <w:kern w:val="0"/>
                <w:sz w:val="21"/>
                <w:szCs w:val="21"/>
                <w:u w:val="none"/>
                <w:lang w:val="en-US" w:eastAsia="zh-CN" w:bidi="ar"/>
              </w:rPr>
              <w:t>162.5万元。</w:t>
            </w:r>
          </w:p>
        </w:tc>
        <w:tc>
          <w:tcPr>
            <w:tcW w:w="2644" w:type="dxa"/>
            <w:noWrap w:val="0"/>
            <w:vAlign w:val="top"/>
          </w:tcPr>
          <w:p w14:paraId="0BAAC0B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top"/>
              <w:rPr>
                <w:rFonts w:hint="default" w:ascii="Times New Roman" w:hAnsi="Times New Roman" w:eastAsia="仿宋_GB2312" w:cs="Times New Roman"/>
                <w:b w:val="0"/>
                <w:bCs w:val="0"/>
                <w:color w:val="auto"/>
                <w:sz w:val="21"/>
                <w:szCs w:val="21"/>
                <w:highlight w:val="none"/>
                <w:lang w:val="en-US" w:eastAsia="zh-CN"/>
              </w:rPr>
            </w:pPr>
            <w:r>
              <w:rPr>
                <w:rFonts w:hint="default" w:ascii="Times New Roman" w:hAnsi="Times New Roman" w:eastAsia="仿宋_GB2312" w:cs="Times New Roman"/>
                <w:b/>
                <w:bCs/>
                <w:i w:val="0"/>
                <w:iCs w:val="0"/>
                <w:color w:val="000000"/>
                <w:kern w:val="0"/>
                <w:sz w:val="21"/>
                <w:szCs w:val="21"/>
                <w:u w:val="none"/>
                <w:lang w:val="en-US" w:eastAsia="zh-CN" w:bidi="ar"/>
              </w:rPr>
              <w:t>1.</w:t>
            </w:r>
            <w:r>
              <w:rPr>
                <w:rFonts w:hint="default" w:ascii="Times New Roman" w:hAnsi="Times New Roman" w:eastAsia="仿宋_GB2312" w:cs="Times New Roman"/>
                <w:b/>
                <w:bCs/>
                <w:color w:val="auto"/>
                <w:sz w:val="21"/>
                <w:szCs w:val="21"/>
                <w:highlight w:val="none"/>
                <w:lang w:val="en-US" w:eastAsia="zh-CN"/>
              </w:rPr>
              <w:t>人才培养</w:t>
            </w:r>
            <w:r>
              <w:rPr>
                <w:rFonts w:hint="default" w:ascii="Times New Roman" w:hAnsi="Times New Roman" w:eastAsia="仿宋_GB2312" w:cs="Times New Roman"/>
                <w:b/>
                <w:bCs/>
                <w:i w:val="0"/>
                <w:iCs w:val="0"/>
                <w:color w:val="000000"/>
                <w:kern w:val="0"/>
                <w:sz w:val="21"/>
                <w:szCs w:val="21"/>
                <w:u w:val="none"/>
                <w:lang w:val="en-US" w:eastAsia="zh-CN" w:bidi="ar"/>
              </w:rPr>
              <w:t>：</w:t>
            </w:r>
            <w:r>
              <w:rPr>
                <w:rFonts w:hint="default" w:ascii="Times New Roman" w:hAnsi="Times New Roman" w:eastAsia="仿宋_GB2312" w:cs="Times New Roman"/>
                <w:b w:val="0"/>
                <w:bCs w:val="0"/>
                <w:i w:val="0"/>
                <w:iCs w:val="0"/>
                <w:color w:val="000000"/>
                <w:kern w:val="0"/>
                <w:sz w:val="21"/>
                <w:szCs w:val="21"/>
                <w:u w:val="none"/>
                <w:lang w:val="en-US" w:eastAsia="zh-CN" w:bidi="ar"/>
              </w:rPr>
              <w:t>持续</w:t>
            </w:r>
            <w:r>
              <w:rPr>
                <w:rFonts w:hint="default" w:ascii="Times New Roman" w:hAnsi="Times New Roman" w:eastAsia="仿宋_GB2312" w:cs="Times New Roman"/>
                <w:i w:val="0"/>
                <w:iCs w:val="0"/>
                <w:color w:val="000000"/>
                <w:kern w:val="0"/>
                <w:sz w:val="21"/>
                <w:szCs w:val="21"/>
                <w:u w:val="none"/>
                <w:lang w:val="en-US" w:eastAsia="zh-CN" w:bidi="ar"/>
              </w:rPr>
              <w:t>开展</w:t>
            </w:r>
            <w:r>
              <w:rPr>
                <w:rFonts w:hint="default" w:ascii="Times New Roman" w:hAnsi="Times New Roman" w:eastAsia="仿宋_GB2312" w:cs="Times New Roman"/>
                <w:color w:val="auto"/>
                <w:kern w:val="0"/>
                <w:sz w:val="21"/>
                <w:szCs w:val="21"/>
                <w:highlight w:val="none"/>
                <w:lang w:val="en-US" w:eastAsia="zh-CN"/>
              </w:rPr>
              <w:t>医生、护士（业务骨干）培养20万元</w:t>
            </w:r>
            <w:r>
              <w:rPr>
                <w:rFonts w:hint="default" w:ascii="Times New Roman" w:hAnsi="Times New Roman" w:eastAsia="仿宋_GB2312" w:cs="Times New Roman"/>
                <w:i w:val="0"/>
                <w:iCs w:val="0"/>
                <w:color w:val="000000"/>
                <w:kern w:val="0"/>
                <w:sz w:val="21"/>
                <w:szCs w:val="21"/>
                <w:u w:val="none"/>
                <w:lang w:val="en-US" w:eastAsia="zh-CN" w:bidi="ar"/>
              </w:rPr>
              <w:t>，</w:t>
            </w:r>
            <w:r>
              <w:rPr>
                <w:rFonts w:hint="default" w:ascii="Times New Roman" w:hAnsi="Times New Roman" w:eastAsia="仿宋_GB2312" w:cs="Times New Roman"/>
                <w:b/>
                <w:bCs/>
                <w:color w:val="auto"/>
                <w:sz w:val="21"/>
                <w:szCs w:val="21"/>
                <w:highlight w:val="none"/>
                <w:lang w:val="en-US" w:eastAsia="zh-CN"/>
              </w:rPr>
              <w:t>2.人才引进：</w:t>
            </w:r>
            <w:r>
              <w:rPr>
                <w:rFonts w:hint="default" w:ascii="Times New Roman" w:hAnsi="Times New Roman" w:eastAsia="仿宋_GB2312" w:cs="Times New Roman"/>
                <w:b w:val="0"/>
                <w:bCs w:val="0"/>
                <w:color w:val="auto"/>
                <w:sz w:val="21"/>
                <w:szCs w:val="21"/>
                <w:highlight w:val="none"/>
                <w:lang w:val="en-US" w:eastAsia="zh-CN"/>
              </w:rPr>
              <w:t>持续</w:t>
            </w:r>
            <w:r>
              <w:rPr>
                <w:rFonts w:hint="default" w:ascii="Times New Roman" w:hAnsi="Times New Roman" w:eastAsia="仿宋_GB2312" w:cs="Times New Roman"/>
                <w:i w:val="0"/>
                <w:iCs w:val="0"/>
                <w:color w:val="000000"/>
                <w:kern w:val="0"/>
                <w:sz w:val="21"/>
                <w:szCs w:val="21"/>
                <w:u w:val="none"/>
                <w:lang w:val="en-US" w:eastAsia="zh-CN" w:bidi="ar"/>
              </w:rPr>
              <w:t>从巴彦淖尔市医院等上级三甲医院引进1支专家团队帮扶指导67.5万元。</w:t>
            </w:r>
            <w:r>
              <w:rPr>
                <w:rFonts w:hint="default" w:ascii="Times New Roman" w:hAnsi="Times New Roman" w:eastAsia="仿宋_GB2312" w:cs="Times New Roman"/>
                <w:b/>
                <w:bCs/>
                <w:i w:val="0"/>
                <w:iCs w:val="0"/>
                <w:color w:val="000000"/>
                <w:kern w:val="0"/>
                <w:sz w:val="21"/>
                <w:szCs w:val="21"/>
                <w:u w:val="none"/>
                <w:lang w:val="en-US" w:eastAsia="zh-CN" w:bidi="ar"/>
              </w:rPr>
              <w:br w:type="textWrapping"/>
            </w:r>
            <w:r>
              <w:rPr>
                <w:rFonts w:hint="default" w:ascii="Times New Roman" w:hAnsi="Times New Roman" w:eastAsia="仿宋_GB2312" w:cs="Times New Roman"/>
                <w:b/>
                <w:bCs/>
                <w:i w:val="0"/>
                <w:iCs w:val="0"/>
                <w:color w:val="000000"/>
                <w:kern w:val="0"/>
                <w:sz w:val="21"/>
                <w:szCs w:val="21"/>
                <w:u w:val="none"/>
                <w:lang w:val="en-US" w:eastAsia="zh-CN" w:bidi="ar"/>
              </w:rPr>
              <w:t>年度投资计划：</w:t>
            </w:r>
            <w:r>
              <w:rPr>
                <w:rFonts w:hint="default" w:ascii="Times New Roman" w:hAnsi="Times New Roman" w:eastAsia="仿宋_GB2312" w:cs="Times New Roman"/>
                <w:i w:val="0"/>
                <w:iCs w:val="0"/>
                <w:color w:val="000000"/>
                <w:kern w:val="0"/>
                <w:sz w:val="21"/>
                <w:szCs w:val="21"/>
                <w:u w:val="none"/>
                <w:lang w:val="en-US" w:eastAsia="zh-CN" w:bidi="ar"/>
              </w:rPr>
              <w:t>87.5万元。</w:t>
            </w:r>
          </w:p>
        </w:tc>
      </w:tr>
      <w:tr w14:paraId="76CA4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1" w:hRule="atLeast"/>
          <w:jc w:val="center"/>
        </w:trPr>
        <w:tc>
          <w:tcPr>
            <w:tcW w:w="523" w:type="dxa"/>
            <w:noWrap w:val="0"/>
            <w:vAlign w:val="center"/>
          </w:tcPr>
          <w:p w14:paraId="4C537205">
            <w:pPr>
              <w:keepNext w:val="0"/>
              <w:keepLines w:val="0"/>
              <w:pageBreakBefore w:val="0"/>
              <w:suppressLineNumbers w:val="0"/>
              <w:kinsoku/>
              <w:wordWrap/>
              <w:overflowPunct w:val="0"/>
              <w:topLinePunct w:val="0"/>
              <w:autoSpaceDE/>
              <w:autoSpaceDN/>
              <w:bidi w:val="0"/>
              <w:adjustRightInd/>
              <w:snapToGrid/>
              <w:spacing w:before="0" w:beforeAutospacing="0" w:after="0" w:afterAutospacing="0" w:line="320" w:lineRule="exact"/>
              <w:ind w:left="0" w:leftChars="0" w:right="0" w:rightChars="0"/>
              <w:jc w:val="center"/>
              <w:rPr>
                <w:rFonts w:hint="default" w:ascii="Times New Roman" w:hAnsi="Times New Roman" w:eastAsia="仿宋_GB2312" w:cs="Times New Roman"/>
                <w:b w:val="0"/>
                <w:bCs w:val="0"/>
                <w:color w:val="auto"/>
                <w:sz w:val="21"/>
                <w:szCs w:val="21"/>
                <w:highlight w:val="none"/>
                <w:lang w:val="en-US" w:eastAsia="zh-CN"/>
              </w:rPr>
            </w:pPr>
            <w:r>
              <w:rPr>
                <w:rFonts w:hint="default" w:ascii="Times New Roman" w:hAnsi="Times New Roman" w:eastAsia="仿宋_GB2312" w:cs="Times New Roman"/>
                <w:b w:val="0"/>
                <w:bCs w:val="0"/>
                <w:color w:val="auto"/>
                <w:sz w:val="21"/>
                <w:szCs w:val="21"/>
                <w:highlight w:val="none"/>
                <w:lang w:val="en-US" w:eastAsia="zh-CN"/>
              </w:rPr>
              <w:t>2</w:t>
            </w:r>
          </w:p>
        </w:tc>
        <w:tc>
          <w:tcPr>
            <w:tcW w:w="782" w:type="dxa"/>
            <w:shd w:val="clear" w:color="auto" w:fill="auto"/>
            <w:noWrap w:val="0"/>
            <w:vAlign w:val="center"/>
          </w:tcPr>
          <w:p w14:paraId="5E352C4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jc w:val="center"/>
              <w:textAlignment w:val="center"/>
              <w:rPr>
                <w:rFonts w:hint="default" w:ascii="Times New Roman" w:hAnsi="Times New Roman" w:eastAsia="仿宋_GB2312" w:cs="Times New Roman"/>
                <w:b w:val="0"/>
                <w:bCs w:val="0"/>
                <w:color w:val="auto"/>
                <w:kern w:val="2"/>
                <w:sz w:val="21"/>
                <w:szCs w:val="21"/>
                <w:highlight w:val="none"/>
                <w:lang w:val="en-US" w:eastAsia="zh-CN" w:bidi="ar-SA"/>
              </w:rPr>
            </w:pPr>
            <w:r>
              <w:rPr>
                <w:rFonts w:hint="default" w:ascii="Times New Roman" w:hAnsi="Times New Roman" w:eastAsia="仿宋_GB2312" w:cs="Times New Roman"/>
                <w:b w:val="0"/>
                <w:bCs w:val="0"/>
                <w:color w:val="auto"/>
                <w:kern w:val="2"/>
                <w:sz w:val="21"/>
                <w:szCs w:val="21"/>
                <w:highlight w:val="none"/>
                <w:lang w:val="en-US" w:eastAsia="zh-CN" w:bidi="ar-SA"/>
              </w:rPr>
              <w:t>县域健康管理中心建设项目</w:t>
            </w:r>
          </w:p>
        </w:tc>
        <w:tc>
          <w:tcPr>
            <w:tcW w:w="881" w:type="dxa"/>
            <w:shd w:val="clear" w:color="auto" w:fill="auto"/>
            <w:noWrap w:val="0"/>
            <w:vAlign w:val="center"/>
          </w:tcPr>
          <w:p w14:paraId="1AA928E5">
            <w:pPr>
              <w:keepNext w:val="0"/>
              <w:keepLines w:val="0"/>
              <w:pageBreakBefore w:val="0"/>
              <w:widowControl/>
              <w:suppressLineNumbers w:val="0"/>
              <w:kinsoku/>
              <w:wordWrap/>
              <w:overflowPunct w:val="0"/>
              <w:topLinePunct w:val="0"/>
              <w:autoSpaceDE/>
              <w:autoSpaceDN/>
              <w:bidi w:val="0"/>
              <w:adjustRightInd/>
              <w:snapToGrid/>
              <w:spacing w:before="0" w:beforeAutospacing="0" w:after="0" w:afterAutospacing="0" w:line="320" w:lineRule="exact"/>
              <w:ind w:left="0" w:leftChars="0" w:right="0" w:rightChars="0"/>
              <w:jc w:val="center"/>
              <w:textAlignment w:val="center"/>
              <w:rPr>
                <w:rFonts w:hint="default" w:ascii="Times New Roman" w:hAnsi="Times New Roman" w:eastAsia="仿宋_GB2312" w:cs="Times New Roman"/>
                <w:b w:val="0"/>
                <w:bCs w:val="0"/>
                <w:color w:val="auto"/>
                <w:kern w:val="2"/>
                <w:sz w:val="21"/>
                <w:szCs w:val="21"/>
                <w:highlight w:val="none"/>
                <w:lang w:val="en-US" w:eastAsia="zh-CN" w:bidi="ar-SA"/>
              </w:rPr>
            </w:pPr>
            <w:r>
              <w:rPr>
                <w:rFonts w:hint="default" w:ascii="Times New Roman" w:hAnsi="Times New Roman" w:eastAsia="仿宋_GB2312" w:cs="Times New Roman"/>
                <w:b w:val="0"/>
                <w:bCs w:val="0"/>
                <w:color w:val="auto"/>
                <w:kern w:val="2"/>
                <w:sz w:val="21"/>
                <w:szCs w:val="21"/>
                <w:highlight w:val="none"/>
                <w:lang w:val="en-US" w:eastAsia="zh-CN" w:bidi="ar-SA"/>
              </w:rPr>
              <w:t>县域医共体牵头医院健康管理中心和智能软件建设项目</w:t>
            </w:r>
          </w:p>
          <w:p w14:paraId="38EED080">
            <w:pPr>
              <w:keepNext w:val="0"/>
              <w:keepLines w:val="0"/>
              <w:pageBreakBefore w:val="0"/>
              <w:widowControl/>
              <w:suppressLineNumbers w:val="0"/>
              <w:kinsoku/>
              <w:wordWrap/>
              <w:overflowPunct w:val="0"/>
              <w:topLinePunct w:val="0"/>
              <w:autoSpaceDE/>
              <w:autoSpaceDN/>
              <w:bidi w:val="0"/>
              <w:adjustRightInd/>
              <w:snapToGrid/>
              <w:spacing w:before="0" w:beforeAutospacing="0" w:after="0" w:afterAutospacing="0" w:line="320" w:lineRule="exact"/>
              <w:ind w:left="0" w:leftChars="0" w:right="0" w:rightChars="0"/>
              <w:jc w:val="center"/>
              <w:textAlignment w:val="center"/>
              <w:rPr>
                <w:rFonts w:hint="default" w:ascii="Times New Roman" w:hAnsi="Times New Roman" w:eastAsia="仿宋_GB2312" w:cs="Times New Roman"/>
                <w:color w:val="auto"/>
                <w:kern w:val="2"/>
                <w:sz w:val="21"/>
                <w:szCs w:val="21"/>
                <w:highlight w:val="none"/>
                <w:lang w:val="en-US" w:eastAsia="zh-CN" w:bidi="ar-SA"/>
              </w:rPr>
            </w:pPr>
          </w:p>
        </w:tc>
        <w:tc>
          <w:tcPr>
            <w:tcW w:w="975" w:type="dxa"/>
            <w:shd w:val="clear" w:color="auto" w:fill="auto"/>
            <w:noWrap w:val="0"/>
            <w:vAlign w:val="center"/>
          </w:tcPr>
          <w:p w14:paraId="3223B2F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jc w:val="center"/>
              <w:textAlignment w:val="center"/>
              <w:rPr>
                <w:rFonts w:hint="default" w:ascii="Times New Roman" w:hAnsi="Times New Roman" w:eastAsia="仿宋_GB2312" w:cs="Times New Roman"/>
                <w:b w:val="0"/>
                <w:bCs w:val="0"/>
                <w:color w:val="auto"/>
                <w:kern w:val="2"/>
                <w:sz w:val="21"/>
                <w:szCs w:val="21"/>
                <w:highlight w:val="none"/>
                <w:lang w:val="en-US" w:eastAsia="zh-CN" w:bidi="ar-SA"/>
              </w:rPr>
            </w:pPr>
            <w:r>
              <w:rPr>
                <w:rFonts w:hint="default" w:ascii="Times New Roman" w:hAnsi="Times New Roman" w:eastAsia="仿宋_GB2312" w:cs="Times New Roman"/>
                <w:b w:val="0"/>
                <w:bCs w:val="0"/>
                <w:color w:val="auto"/>
                <w:kern w:val="2"/>
                <w:sz w:val="21"/>
                <w:szCs w:val="21"/>
                <w:highlight w:val="none"/>
                <w:lang w:val="en-US" w:eastAsia="zh-CN" w:bidi="ar-SA"/>
              </w:rPr>
              <w:t>乌拉特后旗人民医院</w:t>
            </w:r>
          </w:p>
        </w:tc>
        <w:tc>
          <w:tcPr>
            <w:tcW w:w="2681" w:type="dxa"/>
            <w:shd w:val="clear" w:color="auto" w:fill="auto"/>
            <w:noWrap w:val="0"/>
            <w:vAlign w:val="center"/>
          </w:tcPr>
          <w:p w14:paraId="50A2FDD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60" w:lineRule="exact"/>
              <w:ind w:left="0" w:leftChars="0" w:right="0" w:rightChars="0" w:firstLine="0" w:firstLineChars="0"/>
              <w:jc w:val="both"/>
              <w:textAlignment w:val="auto"/>
              <w:rPr>
                <w:rFonts w:hint="default" w:ascii="Times New Roman" w:hAnsi="Times New Roman" w:eastAsia="仿宋_GB2312" w:cs="Times New Roman"/>
                <w:b w:val="0"/>
                <w:bCs w:val="0"/>
                <w:color w:val="auto"/>
                <w:kern w:val="2"/>
                <w:sz w:val="21"/>
                <w:szCs w:val="21"/>
                <w:highlight w:val="none"/>
                <w:lang w:val="en-US" w:eastAsia="zh-CN" w:bidi="ar-SA"/>
              </w:rPr>
            </w:pPr>
            <w:r>
              <w:rPr>
                <w:rFonts w:hint="default" w:ascii="Times New Roman" w:hAnsi="Times New Roman" w:eastAsia="仿宋_GB2312" w:cs="Times New Roman"/>
                <w:color w:val="auto"/>
                <w:kern w:val="2"/>
                <w:sz w:val="21"/>
                <w:szCs w:val="21"/>
                <w:lang w:val="en-US" w:eastAsia="zh-CN" w:bidi="ar-SA"/>
              </w:rPr>
              <w:t>以医共体总院为核心，建设“实体化、数字化、全周期覆盖”的健康管理中心。包括：升级改造健康管理中心（区域优化、适老化设施）、人才培训（选派进修、专题培训等）、设备购置（健康筛查与智能监测设备等）、信息化建设（健康数据中心、智能服务系统、绩效平台）。通过项目实现数据一体化、服务连续化、管理同质化目标。</w:t>
            </w:r>
          </w:p>
        </w:tc>
        <w:tc>
          <w:tcPr>
            <w:tcW w:w="640" w:type="dxa"/>
            <w:shd w:val="clear" w:color="auto" w:fill="auto"/>
            <w:noWrap w:val="0"/>
            <w:vAlign w:val="center"/>
          </w:tcPr>
          <w:p w14:paraId="32AC7F24">
            <w:pPr>
              <w:keepNext w:val="0"/>
              <w:keepLines w:val="0"/>
              <w:pageBreakBefore w:val="0"/>
              <w:widowControl/>
              <w:suppressLineNumbers w:val="0"/>
              <w:kinsoku/>
              <w:wordWrap/>
              <w:topLinePunct w:val="0"/>
              <w:autoSpaceDE/>
              <w:autoSpaceDN/>
              <w:bidi w:val="0"/>
              <w:adjustRightInd/>
              <w:snapToGrid/>
              <w:spacing w:before="0" w:beforeAutospacing="0" w:after="0" w:afterAutospacing="0" w:line="320" w:lineRule="exact"/>
              <w:ind w:left="0" w:leftChars="0" w:right="0" w:right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400</w:t>
            </w:r>
          </w:p>
        </w:tc>
        <w:tc>
          <w:tcPr>
            <w:tcW w:w="825" w:type="dxa"/>
            <w:shd w:val="clear" w:color="auto" w:fill="auto"/>
            <w:noWrap w:val="0"/>
            <w:vAlign w:val="center"/>
          </w:tcPr>
          <w:p w14:paraId="260845E7">
            <w:pPr>
              <w:keepNext w:val="0"/>
              <w:keepLines w:val="0"/>
              <w:pageBreakBefore w:val="0"/>
              <w:widowControl/>
              <w:suppressLineNumbers w:val="0"/>
              <w:kinsoku/>
              <w:wordWrap/>
              <w:topLinePunct w:val="0"/>
              <w:autoSpaceDE/>
              <w:autoSpaceDN/>
              <w:bidi w:val="0"/>
              <w:adjustRightInd/>
              <w:snapToGrid/>
              <w:spacing w:before="0" w:beforeAutospacing="0" w:after="0" w:afterAutospacing="0" w:line="320" w:lineRule="exact"/>
              <w:ind w:left="0" w:leftChars="0" w:right="0" w:right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246</w:t>
            </w:r>
          </w:p>
        </w:tc>
        <w:tc>
          <w:tcPr>
            <w:tcW w:w="750" w:type="dxa"/>
            <w:shd w:val="clear" w:color="auto" w:fill="auto"/>
            <w:noWrap w:val="0"/>
            <w:vAlign w:val="center"/>
          </w:tcPr>
          <w:p w14:paraId="7602FB9A">
            <w:pPr>
              <w:keepNext w:val="0"/>
              <w:keepLines w:val="0"/>
              <w:pageBreakBefore w:val="0"/>
              <w:widowControl/>
              <w:suppressLineNumbers w:val="0"/>
              <w:kinsoku/>
              <w:wordWrap/>
              <w:topLinePunct w:val="0"/>
              <w:autoSpaceDE/>
              <w:autoSpaceDN/>
              <w:bidi w:val="0"/>
              <w:adjustRightInd/>
              <w:snapToGrid/>
              <w:spacing w:before="0" w:beforeAutospacing="0" w:after="0" w:afterAutospacing="0" w:line="320" w:lineRule="exact"/>
              <w:ind w:left="0" w:leftChars="0" w:right="0" w:right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0</w:t>
            </w:r>
          </w:p>
        </w:tc>
        <w:tc>
          <w:tcPr>
            <w:tcW w:w="885" w:type="dxa"/>
            <w:shd w:val="clear" w:color="auto" w:fill="auto"/>
            <w:noWrap w:val="0"/>
            <w:vAlign w:val="center"/>
          </w:tcPr>
          <w:p w14:paraId="0844D353">
            <w:pPr>
              <w:keepNext w:val="0"/>
              <w:keepLines w:val="0"/>
              <w:pageBreakBefore w:val="0"/>
              <w:widowControl/>
              <w:suppressLineNumbers w:val="0"/>
              <w:kinsoku/>
              <w:wordWrap/>
              <w:topLinePunct w:val="0"/>
              <w:autoSpaceDE/>
              <w:autoSpaceDN/>
              <w:bidi w:val="0"/>
              <w:adjustRightInd/>
              <w:snapToGrid/>
              <w:spacing w:before="0" w:beforeAutospacing="0" w:after="0" w:afterAutospacing="0" w:line="320" w:lineRule="exact"/>
              <w:ind w:left="0" w:leftChars="0" w:right="0" w:right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128</w:t>
            </w:r>
          </w:p>
        </w:tc>
        <w:tc>
          <w:tcPr>
            <w:tcW w:w="660" w:type="dxa"/>
            <w:shd w:val="clear" w:color="auto" w:fill="auto"/>
            <w:noWrap w:val="0"/>
            <w:vAlign w:val="center"/>
          </w:tcPr>
          <w:p w14:paraId="26AE3910">
            <w:pPr>
              <w:keepNext w:val="0"/>
              <w:keepLines w:val="0"/>
              <w:pageBreakBefore w:val="0"/>
              <w:widowControl/>
              <w:suppressLineNumbers w:val="0"/>
              <w:kinsoku/>
              <w:wordWrap/>
              <w:topLinePunct w:val="0"/>
              <w:autoSpaceDE/>
              <w:autoSpaceDN/>
              <w:bidi w:val="0"/>
              <w:adjustRightInd/>
              <w:snapToGrid/>
              <w:spacing w:before="0" w:beforeAutospacing="0" w:after="0" w:afterAutospacing="0" w:line="320" w:lineRule="exact"/>
              <w:ind w:left="0" w:leftChars="0" w:right="0" w:right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26</w:t>
            </w:r>
          </w:p>
        </w:tc>
        <w:tc>
          <w:tcPr>
            <w:tcW w:w="3022" w:type="dxa"/>
            <w:shd w:val="clear" w:color="auto" w:fill="auto"/>
            <w:noWrap w:val="0"/>
            <w:vAlign w:val="center"/>
          </w:tcPr>
          <w:p w14:paraId="679CDBD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auto"/>
              <w:rPr>
                <w:rFonts w:hint="default" w:ascii="Times New Roman" w:hAnsi="Times New Roman" w:eastAsia="仿宋_GB2312" w:cs="Times New Roman"/>
                <w:color w:val="auto"/>
                <w:sz w:val="21"/>
                <w:szCs w:val="21"/>
                <w:vertAlign w:val="baseline"/>
                <w:lang w:val="en-US" w:eastAsia="zh-CN"/>
              </w:rPr>
            </w:pPr>
            <w:r>
              <w:rPr>
                <w:rFonts w:hint="default" w:ascii="Times New Roman" w:hAnsi="Times New Roman" w:eastAsia="仿宋_GB2312" w:cs="Times New Roman"/>
                <w:b/>
                <w:bCs/>
                <w:color w:val="auto"/>
                <w:sz w:val="21"/>
                <w:szCs w:val="21"/>
                <w:vertAlign w:val="baseline"/>
                <w:lang w:val="en-US" w:eastAsia="zh-CN"/>
              </w:rPr>
              <w:t>1.设备购置</w:t>
            </w:r>
            <w:r>
              <w:rPr>
                <w:rFonts w:hint="default" w:ascii="Times New Roman" w:hAnsi="Times New Roman" w:eastAsia="仿宋_GB2312" w:cs="Times New Roman"/>
                <w:color w:val="auto"/>
                <w:sz w:val="21"/>
                <w:szCs w:val="21"/>
                <w:vertAlign w:val="baseline"/>
                <w:lang w:val="en-US" w:eastAsia="zh-CN"/>
              </w:rPr>
              <w:t>：购置健康筛查基础设备（含全自动血压仪、血糖仪、心电图机等）1批40万元；</w:t>
            </w:r>
          </w:p>
          <w:p w14:paraId="2F86018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auto"/>
              <w:rPr>
                <w:rFonts w:hint="default" w:ascii="Times New Roman" w:hAnsi="Times New Roman" w:eastAsia="仿宋_GB2312" w:cs="Times New Roman"/>
                <w:color w:val="auto"/>
                <w:sz w:val="21"/>
                <w:szCs w:val="21"/>
                <w:vertAlign w:val="baseline"/>
                <w:lang w:val="en-US" w:eastAsia="zh-CN"/>
              </w:rPr>
            </w:pPr>
            <w:r>
              <w:rPr>
                <w:rFonts w:hint="default" w:ascii="Times New Roman" w:hAnsi="Times New Roman" w:eastAsia="仿宋_GB2312" w:cs="Times New Roman"/>
                <w:b/>
                <w:bCs/>
                <w:color w:val="auto"/>
                <w:sz w:val="21"/>
                <w:szCs w:val="21"/>
                <w:vertAlign w:val="baseline"/>
                <w:lang w:val="en-US" w:eastAsia="zh-CN"/>
              </w:rPr>
              <w:t>2.人才培养：</w:t>
            </w:r>
            <w:r>
              <w:rPr>
                <w:rFonts w:hint="default" w:ascii="Times New Roman" w:hAnsi="Times New Roman" w:eastAsia="仿宋_GB2312" w:cs="Times New Roman"/>
                <w:color w:val="auto"/>
                <w:sz w:val="21"/>
                <w:szCs w:val="21"/>
                <w:vertAlign w:val="baseline"/>
                <w:lang w:val="en-US" w:eastAsia="zh-CN"/>
              </w:rPr>
              <w:t>选派5名专技人员赴自治区内外健康管理专业医疗机构培训4万元；</w:t>
            </w:r>
          </w:p>
          <w:p w14:paraId="42CEBC3B">
            <w:pPr>
              <w:keepNext w:val="0"/>
              <w:keepLines w:val="0"/>
              <w:pageBreakBefore w:val="0"/>
              <w:widowControl w:val="0"/>
              <w:numPr>
                <w:ilvl w:val="0"/>
                <w:numId w:val="0"/>
              </w:numPr>
              <w:kinsoku/>
              <w:wordWrap/>
              <w:overflowPunct/>
              <w:topLinePunct w:val="0"/>
              <w:autoSpaceDE/>
              <w:autoSpaceDN/>
              <w:bidi w:val="0"/>
              <w:adjustRightInd/>
              <w:snapToGrid/>
              <w:spacing w:line="240" w:lineRule="exact"/>
              <w:jc w:val="both"/>
              <w:textAlignment w:val="auto"/>
              <w:outlineLvl w:val="2"/>
              <w:rPr>
                <w:rFonts w:hint="default" w:ascii="Times New Roman" w:hAnsi="Times New Roman" w:eastAsia="仿宋_GB2312" w:cs="Times New Roman"/>
                <w:b/>
                <w:sz w:val="21"/>
                <w:szCs w:val="21"/>
                <w:lang w:val="en-US" w:eastAsia="zh-CN"/>
              </w:rPr>
            </w:pPr>
            <w:r>
              <w:rPr>
                <w:rFonts w:hint="default" w:ascii="Times New Roman" w:hAnsi="Times New Roman" w:eastAsia="仿宋_GB2312" w:cs="Times New Roman"/>
                <w:b/>
                <w:bCs/>
                <w:color w:val="auto"/>
                <w:sz w:val="21"/>
                <w:szCs w:val="21"/>
                <w:highlight w:val="none"/>
                <w:lang w:val="en-US" w:eastAsia="zh-CN"/>
              </w:rPr>
              <w:t>3.</w:t>
            </w:r>
            <w:r>
              <w:rPr>
                <w:rFonts w:hint="default" w:ascii="Times New Roman" w:hAnsi="Times New Roman" w:eastAsia="仿宋_GB2312" w:cs="Times New Roman"/>
                <w:b/>
                <w:bCs/>
                <w:sz w:val="21"/>
                <w:szCs w:val="21"/>
                <w:lang w:val="en-US" w:eastAsia="zh-CN"/>
              </w:rPr>
              <w:t>区域改造：</w:t>
            </w:r>
            <w:r>
              <w:rPr>
                <w:rFonts w:hint="default" w:ascii="Times New Roman" w:hAnsi="Times New Roman" w:eastAsia="仿宋_GB2312" w:cs="Times New Roman"/>
                <w:sz w:val="21"/>
                <w:szCs w:val="21"/>
              </w:rPr>
              <w:t>健康管理中心进行功能布局优化</w:t>
            </w:r>
            <w:r>
              <w:rPr>
                <w:rFonts w:hint="default" w:ascii="Times New Roman" w:hAnsi="Times New Roman" w:eastAsia="仿宋_GB2312" w:cs="Times New Roman"/>
                <w:sz w:val="21"/>
                <w:szCs w:val="21"/>
                <w:lang w:val="en-US" w:eastAsia="zh-CN"/>
              </w:rPr>
              <w:t>30万元；</w:t>
            </w:r>
          </w:p>
          <w:p w14:paraId="117191A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auto"/>
              <w:rPr>
                <w:rFonts w:hint="default" w:ascii="Times New Roman" w:hAnsi="Times New Roman" w:eastAsia="仿宋_GB2312" w:cs="Times New Roman"/>
                <w:color w:val="auto"/>
                <w:sz w:val="21"/>
                <w:szCs w:val="21"/>
                <w:vertAlign w:val="baseline"/>
                <w:lang w:val="en-US" w:eastAsia="zh-CN"/>
              </w:rPr>
            </w:pPr>
            <w:r>
              <w:rPr>
                <w:rFonts w:hint="default" w:ascii="Times New Roman" w:hAnsi="Times New Roman" w:eastAsia="仿宋_GB2312" w:cs="Times New Roman"/>
                <w:b/>
                <w:bCs/>
                <w:color w:val="auto"/>
                <w:sz w:val="21"/>
                <w:szCs w:val="21"/>
                <w:vertAlign w:val="baseline"/>
                <w:lang w:val="en-US" w:eastAsia="zh-CN"/>
              </w:rPr>
              <w:t>4.信息化建设：</w:t>
            </w:r>
            <w:r>
              <w:rPr>
                <w:rFonts w:hint="default" w:ascii="Times New Roman" w:hAnsi="Times New Roman" w:eastAsia="仿宋_GB2312" w:cs="Times New Roman"/>
                <w:color w:val="auto"/>
                <w:sz w:val="21"/>
                <w:szCs w:val="21"/>
                <w:vertAlign w:val="baseline"/>
                <w:lang w:val="en-US" w:eastAsia="zh-CN"/>
              </w:rPr>
              <w:t>建设医共体健康数据中心、医共体健康管理和智能服务系统、医共体高质量发展智慧运营及质控平台框架搭建126万元。</w:t>
            </w:r>
          </w:p>
          <w:p w14:paraId="2759469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both"/>
              <w:textAlignment w:val="auto"/>
              <w:rPr>
                <w:rFonts w:hint="default" w:ascii="Times New Roman" w:hAnsi="Times New Roman" w:eastAsia="仿宋_GB2312" w:cs="Times New Roman"/>
                <w:b/>
                <w:bCs/>
                <w:color w:val="auto"/>
                <w:kern w:val="2"/>
                <w:sz w:val="21"/>
                <w:szCs w:val="21"/>
                <w:highlight w:val="none"/>
                <w:lang w:val="en-US" w:eastAsia="zh-CN" w:bidi="ar-SA"/>
              </w:rPr>
            </w:pPr>
            <w:r>
              <w:rPr>
                <w:rFonts w:hint="default" w:ascii="Times New Roman" w:hAnsi="Times New Roman" w:eastAsia="仿宋_GB2312" w:cs="Times New Roman"/>
                <w:b/>
                <w:bCs/>
                <w:color w:val="auto"/>
                <w:sz w:val="21"/>
                <w:szCs w:val="21"/>
                <w:vertAlign w:val="baseline"/>
                <w:lang w:val="en-US" w:eastAsia="zh-CN"/>
              </w:rPr>
              <w:t>年度投资计划：200万元。</w:t>
            </w:r>
          </w:p>
        </w:tc>
        <w:tc>
          <w:tcPr>
            <w:tcW w:w="2644" w:type="dxa"/>
            <w:shd w:val="clear" w:color="auto" w:fill="auto"/>
            <w:noWrap w:val="0"/>
            <w:vAlign w:val="center"/>
          </w:tcPr>
          <w:p w14:paraId="6484486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both"/>
              <w:textAlignment w:val="auto"/>
              <w:rPr>
                <w:rFonts w:hint="default" w:ascii="Times New Roman" w:hAnsi="Times New Roman" w:eastAsia="仿宋_GB2312" w:cs="Times New Roman"/>
                <w:color w:val="auto"/>
                <w:kern w:val="2"/>
                <w:sz w:val="21"/>
                <w:szCs w:val="21"/>
                <w:vertAlign w:val="baseline"/>
                <w:lang w:val="en-US" w:eastAsia="zh-CN" w:bidi="ar-SA"/>
              </w:rPr>
            </w:pPr>
            <w:r>
              <w:rPr>
                <w:rFonts w:hint="default" w:ascii="Times New Roman" w:hAnsi="Times New Roman" w:eastAsia="仿宋_GB2312" w:cs="Times New Roman"/>
                <w:b/>
                <w:bCs/>
                <w:color w:val="auto"/>
                <w:kern w:val="2"/>
                <w:sz w:val="21"/>
                <w:szCs w:val="21"/>
                <w:vertAlign w:val="baseline"/>
                <w:lang w:val="en-US" w:eastAsia="zh-CN" w:bidi="ar-SA"/>
              </w:rPr>
              <w:t>1.设备购置：</w:t>
            </w:r>
            <w:r>
              <w:rPr>
                <w:rFonts w:hint="default" w:ascii="Times New Roman" w:hAnsi="Times New Roman" w:eastAsia="仿宋_GB2312" w:cs="Times New Roman"/>
                <w:color w:val="auto"/>
                <w:kern w:val="2"/>
                <w:sz w:val="21"/>
                <w:szCs w:val="21"/>
                <w:vertAlign w:val="baseline"/>
                <w:lang w:val="en-US" w:eastAsia="zh-CN" w:bidi="ar-SA"/>
              </w:rPr>
              <w:t>购置智能健康监测（含动态血压监测仪、远程血糖监测终端、便携式心电监测设备）1批20万元。</w:t>
            </w:r>
            <w:r>
              <w:rPr>
                <w:rFonts w:hint="default" w:ascii="Times New Roman" w:hAnsi="Times New Roman" w:eastAsia="仿宋_GB2312" w:cs="Times New Roman"/>
                <w:b/>
                <w:bCs/>
                <w:color w:val="auto"/>
                <w:kern w:val="2"/>
                <w:sz w:val="21"/>
                <w:szCs w:val="21"/>
                <w:vertAlign w:val="baseline"/>
                <w:lang w:val="en-US" w:eastAsia="zh-CN" w:bidi="ar-SA"/>
              </w:rPr>
              <w:t>2.人才培养：</w:t>
            </w:r>
            <w:r>
              <w:rPr>
                <w:rFonts w:hint="default" w:ascii="Times New Roman" w:hAnsi="Times New Roman" w:eastAsia="仿宋_GB2312" w:cs="Times New Roman"/>
                <w:color w:val="auto"/>
                <w:kern w:val="2"/>
                <w:sz w:val="21"/>
                <w:szCs w:val="21"/>
                <w:vertAlign w:val="baseline"/>
                <w:lang w:val="en-US" w:eastAsia="zh-CN" w:bidi="ar-SA"/>
              </w:rPr>
              <w:t>选派6名专技人员赴自治区内外健康管理专业医疗机构培训6万元；</w:t>
            </w:r>
            <w:r>
              <w:rPr>
                <w:rFonts w:hint="default" w:ascii="Times New Roman" w:hAnsi="Times New Roman" w:eastAsia="仿宋_GB2312" w:cs="Times New Roman"/>
                <w:b/>
                <w:bCs/>
                <w:color w:val="auto"/>
                <w:kern w:val="2"/>
                <w:sz w:val="21"/>
                <w:szCs w:val="21"/>
                <w:vertAlign w:val="baseline"/>
                <w:lang w:val="en-US" w:eastAsia="zh-CN" w:bidi="ar-SA"/>
              </w:rPr>
              <w:t>3.信息化建设：</w:t>
            </w:r>
            <w:r>
              <w:rPr>
                <w:rFonts w:hint="default" w:ascii="Times New Roman" w:hAnsi="Times New Roman" w:eastAsia="仿宋_GB2312" w:cs="Times New Roman"/>
                <w:color w:val="auto"/>
                <w:kern w:val="2"/>
                <w:sz w:val="21"/>
                <w:szCs w:val="21"/>
                <w:vertAlign w:val="baseline"/>
                <w:lang w:val="en-US" w:eastAsia="zh-CN" w:bidi="ar-SA"/>
              </w:rPr>
              <w:t>完善医共体健康数据中心、医共体健康管理和智能服务系统、医共体高质量发展智慧运营及质控平台功能174万元。</w:t>
            </w:r>
          </w:p>
          <w:p w14:paraId="491D64F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both"/>
              <w:textAlignment w:val="auto"/>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b/>
                <w:bCs/>
                <w:color w:val="auto"/>
                <w:kern w:val="2"/>
                <w:sz w:val="21"/>
                <w:szCs w:val="21"/>
                <w:vertAlign w:val="baseline"/>
                <w:lang w:val="en-US" w:eastAsia="zh-CN" w:bidi="ar-SA"/>
              </w:rPr>
              <w:t>年度投资计划：200万元。</w:t>
            </w:r>
          </w:p>
        </w:tc>
      </w:tr>
      <w:tr w14:paraId="69E3B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35" w:hRule="atLeast"/>
          <w:jc w:val="center"/>
        </w:trPr>
        <w:tc>
          <w:tcPr>
            <w:tcW w:w="523" w:type="dxa"/>
            <w:noWrap w:val="0"/>
            <w:vAlign w:val="center"/>
          </w:tcPr>
          <w:p w14:paraId="0CCE510D">
            <w:pPr>
              <w:keepNext w:val="0"/>
              <w:keepLines w:val="0"/>
              <w:pageBreakBefore w:val="0"/>
              <w:suppressLineNumbers w:val="0"/>
              <w:kinsoku/>
              <w:wordWrap/>
              <w:overflowPunct w:val="0"/>
              <w:topLinePunct w:val="0"/>
              <w:autoSpaceDE/>
              <w:autoSpaceDN/>
              <w:bidi w:val="0"/>
              <w:adjustRightInd/>
              <w:snapToGrid/>
              <w:spacing w:before="0" w:beforeAutospacing="0" w:after="0" w:afterAutospacing="0" w:line="320" w:lineRule="exact"/>
              <w:ind w:left="0" w:leftChars="0" w:right="0" w:rightChars="0"/>
              <w:jc w:val="center"/>
              <w:rPr>
                <w:rFonts w:hint="default" w:ascii="Times New Roman" w:hAnsi="Times New Roman" w:eastAsia="仿宋_GB2312" w:cs="Times New Roman"/>
                <w:b w:val="0"/>
                <w:bCs w:val="0"/>
                <w:color w:val="auto"/>
                <w:sz w:val="21"/>
                <w:szCs w:val="21"/>
                <w:highlight w:val="none"/>
                <w:lang w:val="en-US" w:eastAsia="zh-CN"/>
              </w:rPr>
            </w:pPr>
            <w:r>
              <w:rPr>
                <w:rFonts w:hint="default" w:ascii="Times New Roman" w:hAnsi="Times New Roman" w:eastAsia="仿宋_GB2312" w:cs="Times New Roman"/>
                <w:b w:val="0"/>
                <w:bCs w:val="0"/>
                <w:color w:val="auto"/>
                <w:sz w:val="21"/>
                <w:szCs w:val="21"/>
                <w:highlight w:val="none"/>
                <w:lang w:val="en-US" w:eastAsia="zh-CN"/>
              </w:rPr>
              <w:t>3</w:t>
            </w:r>
          </w:p>
        </w:tc>
        <w:tc>
          <w:tcPr>
            <w:tcW w:w="782" w:type="dxa"/>
            <w:shd w:val="clear" w:color="auto" w:fill="auto"/>
            <w:noWrap w:val="0"/>
            <w:vAlign w:val="center"/>
          </w:tcPr>
          <w:p w14:paraId="7F6DAC43">
            <w:pPr>
              <w:keepNext w:val="0"/>
              <w:keepLines w:val="0"/>
              <w:pageBreakBefore w:val="0"/>
              <w:widowControl/>
              <w:suppressLineNumbers w:val="0"/>
              <w:kinsoku/>
              <w:wordWrap/>
              <w:overflowPunct w:val="0"/>
              <w:topLinePunct w:val="0"/>
              <w:autoSpaceDE/>
              <w:autoSpaceDN/>
              <w:bidi w:val="0"/>
              <w:adjustRightInd/>
              <w:snapToGrid/>
              <w:spacing w:before="0" w:beforeAutospacing="0" w:after="0" w:afterAutospacing="0" w:line="320" w:lineRule="exact"/>
              <w:ind w:left="0" w:leftChars="0" w:right="0" w:rightChars="0"/>
              <w:jc w:val="center"/>
              <w:textAlignment w:val="center"/>
              <w:rPr>
                <w:rFonts w:hint="default" w:ascii="Times New Roman" w:hAnsi="Times New Roman" w:eastAsia="仿宋_GB2312" w:cs="Times New Roman"/>
                <w:b w:val="0"/>
                <w:bCs w:val="0"/>
                <w:color w:val="auto"/>
                <w:kern w:val="2"/>
                <w:sz w:val="21"/>
                <w:szCs w:val="21"/>
                <w:highlight w:val="none"/>
                <w:lang w:val="en-US" w:eastAsia="zh-CN" w:bidi="ar-SA"/>
              </w:rPr>
            </w:pPr>
            <w:r>
              <w:rPr>
                <w:rFonts w:hint="default" w:ascii="Times New Roman" w:hAnsi="Times New Roman" w:eastAsia="仿宋_GB2312" w:cs="Times New Roman"/>
                <w:b w:val="0"/>
                <w:bCs w:val="0"/>
                <w:color w:val="auto"/>
                <w:sz w:val="21"/>
                <w:szCs w:val="21"/>
                <w:highlight w:val="none"/>
                <w:lang w:val="en-US" w:eastAsia="zh-CN"/>
              </w:rPr>
              <w:t>县域卫生健康人才培养项目</w:t>
            </w:r>
          </w:p>
        </w:tc>
        <w:tc>
          <w:tcPr>
            <w:tcW w:w="881" w:type="dxa"/>
            <w:shd w:val="clear" w:color="auto" w:fill="auto"/>
            <w:noWrap w:val="0"/>
            <w:vAlign w:val="center"/>
          </w:tcPr>
          <w:p w14:paraId="126A665A">
            <w:pPr>
              <w:keepNext w:val="0"/>
              <w:keepLines w:val="0"/>
              <w:pageBreakBefore w:val="0"/>
              <w:widowControl/>
              <w:suppressLineNumbers w:val="0"/>
              <w:kinsoku/>
              <w:wordWrap/>
              <w:overflowPunct w:val="0"/>
              <w:topLinePunct w:val="0"/>
              <w:autoSpaceDE/>
              <w:autoSpaceDN/>
              <w:bidi w:val="0"/>
              <w:adjustRightInd/>
              <w:snapToGrid/>
              <w:spacing w:before="0" w:beforeAutospacing="0" w:after="0" w:afterAutospacing="0" w:line="320" w:lineRule="exact"/>
              <w:ind w:left="0" w:leftChars="0" w:right="0" w:rightChars="0"/>
              <w:jc w:val="center"/>
              <w:textAlignment w:val="center"/>
              <w:rPr>
                <w:rFonts w:hint="default" w:ascii="Times New Roman" w:hAnsi="Times New Roman" w:eastAsia="仿宋_GB2312" w:cs="Times New Roman"/>
                <w:b w:val="0"/>
                <w:bCs w:val="0"/>
                <w:color w:val="auto"/>
                <w:kern w:val="2"/>
                <w:sz w:val="21"/>
                <w:szCs w:val="21"/>
                <w:highlight w:val="none"/>
                <w:lang w:val="en-US" w:eastAsia="zh-CN" w:bidi="ar-SA"/>
              </w:rPr>
            </w:pPr>
            <w:r>
              <w:rPr>
                <w:rFonts w:hint="default" w:ascii="Times New Roman" w:hAnsi="Times New Roman" w:eastAsia="仿宋_GB2312" w:cs="Times New Roman"/>
                <w:color w:val="auto"/>
                <w:kern w:val="2"/>
                <w:sz w:val="21"/>
                <w:szCs w:val="21"/>
                <w:highlight w:val="none"/>
                <w:lang w:val="en-US" w:eastAsia="zh-CN" w:bidi="ar-SA"/>
              </w:rPr>
              <w:t>乌拉特后旗</w:t>
            </w:r>
            <w:r>
              <w:rPr>
                <w:rFonts w:hint="default" w:ascii="Times New Roman" w:hAnsi="Times New Roman" w:eastAsia="仿宋_GB2312" w:cs="Times New Roman"/>
                <w:b w:val="0"/>
                <w:bCs w:val="0"/>
                <w:color w:val="auto"/>
                <w:sz w:val="21"/>
                <w:szCs w:val="21"/>
                <w:highlight w:val="none"/>
                <w:lang w:val="en-US" w:eastAsia="zh-CN"/>
              </w:rPr>
              <w:t>县域卫生健康人才培养项目</w:t>
            </w:r>
          </w:p>
        </w:tc>
        <w:tc>
          <w:tcPr>
            <w:tcW w:w="975" w:type="dxa"/>
            <w:shd w:val="clear" w:color="auto" w:fill="auto"/>
            <w:noWrap w:val="0"/>
            <w:vAlign w:val="center"/>
          </w:tcPr>
          <w:p w14:paraId="1D00542E">
            <w:pPr>
              <w:keepNext w:val="0"/>
              <w:keepLines w:val="0"/>
              <w:pageBreakBefore w:val="0"/>
              <w:widowControl/>
              <w:suppressLineNumbers w:val="0"/>
              <w:kinsoku/>
              <w:wordWrap/>
              <w:overflowPunct w:val="0"/>
              <w:topLinePunct w:val="0"/>
              <w:autoSpaceDE/>
              <w:autoSpaceDN/>
              <w:bidi w:val="0"/>
              <w:adjustRightInd/>
              <w:snapToGrid/>
              <w:spacing w:before="0" w:beforeAutospacing="0" w:after="0" w:afterAutospacing="0" w:line="320" w:lineRule="exact"/>
              <w:ind w:left="0" w:leftChars="0" w:right="0" w:rightChars="0"/>
              <w:jc w:val="center"/>
              <w:textAlignment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kern w:val="2"/>
                <w:sz w:val="21"/>
                <w:szCs w:val="21"/>
                <w:highlight w:val="none"/>
                <w:lang w:val="en-US" w:eastAsia="zh-CN" w:bidi="ar-SA"/>
              </w:rPr>
              <w:t>乌拉特后旗卫健委</w:t>
            </w:r>
          </w:p>
        </w:tc>
        <w:tc>
          <w:tcPr>
            <w:tcW w:w="2681" w:type="dxa"/>
            <w:shd w:val="clear" w:color="auto" w:fill="auto"/>
            <w:noWrap w:val="0"/>
            <w:vAlign w:val="center"/>
          </w:tcPr>
          <w:p w14:paraId="64C48203">
            <w:pPr>
              <w:keepNext w:val="0"/>
              <w:keepLines w:val="0"/>
              <w:pageBreakBefore w:val="0"/>
              <w:widowControl/>
              <w:suppressLineNumbers w:val="0"/>
              <w:kinsoku/>
              <w:wordWrap/>
              <w:overflowPunct w:val="0"/>
              <w:topLinePunct w:val="0"/>
              <w:autoSpaceDE/>
              <w:autoSpaceDN/>
              <w:bidi w:val="0"/>
              <w:adjustRightInd/>
              <w:snapToGrid/>
              <w:spacing w:before="0" w:beforeAutospacing="0" w:after="0" w:afterAutospacing="0" w:line="320" w:lineRule="exact"/>
              <w:ind w:left="0" w:leftChars="0" w:right="0" w:rightChars="0"/>
              <w:jc w:val="both"/>
              <w:textAlignment w:val="center"/>
              <w:rPr>
                <w:rFonts w:hint="default" w:ascii="Times New Roman" w:hAnsi="Times New Roman" w:eastAsia="仿宋_GB2312" w:cs="Times New Roman"/>
                <w:b w:val="0"/>
                <w:bCs w:val="0"/>
                <w:color w:val="auto"/>
                <w:kern w:val="2"/>
                <w:sz w:val="21"/>
                <w:szCs w:val="21"/>
                <w:highlight w:val="none"/>
                <w:lang w:val="en-US" w:eastAsia="zh-CN" w:bidi="ar-SA"/>
              </w:rPr>
            </w:pPr>
            <w:r>
              <w:rPr>
                <w:rFonts w:hint="default" w:ascii="Times New Roman" w:hAnsi="Times New Roman" w:eastAsia="仿宋_GB2312" w:cs="Times New Roman"/>
                <w:b w:val="0"/>
                <w:bCs w:val="0"/>
                <w:color w:val="auto"/>
                <w:sz w:val="21"/>
                <w:szCs w:val="21"/>
                <w:highlight w:val="none"/>
                <w:lang w:val="en-US" w:eastAsia="zh-CN"/>
              </w:rPr>
              <w:t>为旗人民医院、蒙医医院和妇幼引进一批紧缺人才和团队，培养一批骨干型人才，提升旗级医院、基层医疗机构的整体医疗服务水平，推动公立医院高质量发展，更好地满足人民群众的医疗卫生需求</w:t>
            </w:r>
          </w:p>
        </w:tc>
        <w:tc>
          <w:tcPr>
            <w:tcW w:w="640" w:type="dxa"/>
            <w:shd w:val="clear" w:color="auto" w:fill="auto"/>
            <w:noWrap w:val="0"/>
            <w:vAlign w:val="center"/>
          </w:tcPr>
          <w:p w14:paraId="19BEC3D6">
            <w:pPr>
              <w:keepNext w:val="0"/>
              <w:keepLines w:val="0"/>
              <w:pageBreakBefore w:val="0"/>
              <w:widowControl/>
              <w:suppressLineNumbers w:val="0"/>
              <w:kinsoku/>
              <w:wordWrap/>
              <w:topLinePunct w:val="0"/>
              <w:autoSpaceDE/>
              <w:autoSpaceDN/>
              <w:bidi w:val="0"/>
              <w:adjustRightInd/>
              <w:snapToGrid/>
              <w:spacing w:before="0" w:beforeAutospacing="0" w:after="0" w:afterAutospacing="0" w:line="320" w:lineRule="exact"/>
              <w:ind w:left="0" w:leftChars="0" w:right="0" w:right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u w:val="none"/>
                <w:lang w:val="en-US" w:eastAsia="zh-CN" w:bidi="ar"/>
              </w:rPr>
              <w:t>120</w:t>
            </w:r>
          </w:p>
        </w:tc>
        <w:tc>
          <w:tcPr>
            <w:tcW w:w="825" w:type="dxa"/>
            <w:shd w:val="clear" w:color="auto" w:fill="auto"/>
            <w:noWrap w:val="0"/>
            <w:vAlign w:val="center"/>
          </w:tcPr>
          <w:p w14:paraId="3BF54FA3">
            <w:pPr>
              <w:keepNext w:val="0"/>
              <w:keepLines w:val="0"/>
              <w:pageBreakBefore w:val="0"/>
              <w:widowControl/>
              <w:suppressLineNumbers w:val="0"/>
              <w:kinsoku/>
              <w:wordWrap/>
              <w:topLinePunct w:val="0"/>
              <w:autoSpaceDE/>
              <w:autoSpaceDN/>
              <w:bidi w:val="0"/>
              <w:adjustRightInd/>
              <w:snapToGrid/>
              <w:spacing w:before="0" w:beforeAutospacing="0" w:after="0" w:afterAutospacing="0" w:line="320" w:lineRule="exact"/>
              <w:ind w:left="0" w:leftChars="0" w:right="0" w:right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u w:val="none"/>
                <w:lang w:val="en-US" w:eastAsia="zh-CN" w:bidi="ar"/>
              </w:rPr>
              <w:t>74</w:t>
            </w:r>
          </w:p>
        </w:tc>
        <w:tc>
          <w:tcPr>
            <w:tcW w:w="750" w:type="dxa"/>
            <w:shd w:val="clear" w:color="auto" w:fill="auto"/>
            <w:noWrap w:val="0"/>
            <w:vAlign w:val="center"/>
          </w:tcPr>
          <w:p w14:paraId="24D01404">
            <w:pPr>
              <w:keepNext w:val="0"/>
              <w:keepLines w:val="0"/>
              <w:pageBreakBefore w:val="0"/>
              <w:widowControl/>
              <w:suppressLineNumbers w:val="0"/>
              <w:kinsoku/>
              <w:wordWrap/>
              <w:topLinePunct w:val="0"/>
              <w:autoSpaceDE/>
              <w:autoSpaceDN/>
              <w:bidi w:val="0"/>
              <w:adjustRightInd/>
              <w:snapToGrid/>
              <w:spacing w:before="0" w:beforeAutospacing="0" w:after="0" w:afterAutospacing="0" w:line="320" w:lineRule="exact"/>
              <w:ind w:left="0" w:leftChars="0" w:right="0" w:right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u w:val="none"/>
                <w:lang w:val="en-US" w:eastAsia="zh-CN" w:bidi="ar"/>
              </w:rPr>
              <w:t>0</w:t>
            </w:r>
          </w:p>
        </w:tc>
        <w:tc>
          <w:tcPr>
            <w:tcW w:w="885" w:type="dxa"/>
            <w:shd w:val="clear" w:color="auto" w:fill="auto"/>
            <w:noWrap w:val="0"/>
            <w:vAlign w:val="center"/>
          </w:tcPr>
          <w:p w14:paraId="5BA16743">
            <w:pPr>
              <w:keepNext w:val="0"/>
              <w:keepLines w:val="0"/>
              <w:pageBreakBefore w:val="0"/>
              <w:widowControl/>
              <w:suppressLineNumbers w:val="0"/>
              <w:kinsoku/>
              <w:wordWrap/>
              <w:topLinePunct w:val="0"/>
              <w:autoSpaceDE/>
              <w:autoSpaceDN/>
              <w:bidi w:val="0"/>
              <w:adjustRightInd/>
              <w:snapToGrid/>
              <w:spacing w:before="0" w:beforeAutospacing="0" w:after="0" w:afterAutospacing="0" w:line="320" w:lineRule="exact"/>
              <w:ind w:left="0" w:leftChars="0" w:right="0" w:right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u w:val="none"/>
                <w:lang w:val="en-US" w:eastAsia="zh-CN" w:bidi="ar"/>
              </w:rPr>
              <w:t>46</w:t>
            </w:r>
          </w:p>
        </w:tc>
        <w:tc>
          <w:tcPr>
            <w:tcW w:w="660" w:type="dxa"/>
            <w:shd w:val="clear" w:color="auto" w:fill="auto"/>
            <w:noWrap w:val="0"/>
            <w:vAlign w:val="center"/>
          </w:tcPr>
          <w:p w14:paraId="5F8E815E">
            <w:pPr>
              <w:keepNext w:val="0"/>
              <w:keepLines w:val="0"/>
              <w:pageBreakBefore w:val="0"/>
              <w:widowControl/>
              <w:suppressLineNumbers w:val="0"/>
              <w:kinsoku/>
              <w:wordWrap/>
              <w:topLinePunct w:val="0"/>
              <w:autoSpaceDE/>
              <w:autoSpaceDN/>
              <w:bidi w:val="0"/>
              <w:adjustRightInd/>
              <w:snapToGrid/>
              <w:spacing w:before="0" w:beforeAutospacing="0" w:after="0" w:afterAutospacing="0" w:line="320" w:lineRule="exact"/>
              <w:ind w:left="0" w:leftChars="0" w:right="0" w:right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u w:val="none"/>
                <w:lang w:val="en-US" w:eastAsia="zh-CN" w:bidi="ar"/>
              </w:rPr>
              <w:t>0</w:t>
            </w:r>
          </w:p>
        </w:tc>
        <w:tc>
          <w:tcPr>
            <w:tcW w:w="3022" w:type="dxa"/>
            <w:shd w:val="clear" w:color="auto" w:fill="auto"/>
            <w:noWrap w:val="0"/>
            <w:vAlign w:val="center"/>
          </w:tcPr>
          <w:p w14:paraId="1D5961F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b/>
                <w:bCs/>
                <w:kern w:val="0"/>
                <w:sz w:val="21"/>
                <w:szCs w:val="21"/>
                <w:lang w:val="en-US" w:eastAsia="zh-CN" w:bidi="ar"/>
              </w:rPr>
              <w:t>人才引进与培养</w:t>
            </w:r>
            <w:r>
              <w:rPr>
                <w:rFonts w:hint="default" w:ascii="Times New Roman" w:hAnsi="Times New Roman" w:eastAsia="仿宋_GB2312" w:cs="Times New Roman"/>
                <w:kern w:val="0"/>
                <w:sz w:val="21"/>
                <w:szCs w:val="21"/>
                <w:lang w:val="en-US" w:eastAsia="zh-CN" w:bidi="ar"/>
              </w:rPr>
              <w:t>：旗</w:t>
            </w:r>
            <w:r>
              <w:rPr>
                <w:rFonts w:hint="default" w:ascii="Times New Roman" w:hAnsi="Times New Roman" w:eastAsia="仿宋_GB2312" w:cs="Times New Roman"/>
                <w:b/>
                <w:bCs/>
                <w:kern w:val="0"/>
                <w:sz w:val="21"/>
                <w:szCs w:val="21"/>
                <w:lang w:val="en-US" w:eastAsia="zh-CN" w:bidi="ar"/>
              </w:rPr>
              <w:t>人民医院</w:t>
            </w:r>
            <w:r>
              <w:rPr>
                <w:rFonts w:hint="default" w:ascii="Times New Roman" w:hAnsi="Times New Roman" w:eastAsia="仿宋_GB2312" w:cs="Times New Roman"/>
                <w:kern w:val="0"/>
                <w:sz w:val="21"/>
                <w:szCs w:val="21"/>
                <w:lang w:val="en-US" w:eastAsia="zh-CN" w:bidi="ar"/>
              </w:rPr>
              <w:t>引进高层次人才2名30万元；</w:t>
            </w:r>
            <w:r>
              <w:rPr>
                <w:rFonts w:hint="default" w:ascii="Times New Roman" w:hAnsi="Times New Roman" w:eastAsia="仿宋_GB2312" w:cs="Times New Roman"/>
                <w:b/>
                <w:bCs/>
                <w:kern w:val="0"/>
                <w:sz w:val="21"/>
                <w:szCs w:val="21"/>
                <w:lang w:val="en-US" w:eastAsia="zh-CN" w:bidi="ar"/>
              </w:rPr>
              <w:t>蒙医医院</w:t>
            </w:r>
            <w:r>
              <w:rPr>
                <w:rFonts w:hint="default" w:ascii="Times New Roman" w:hAnsi="Times New Roman" w:eastAsia="仿宋_GB2312" w:cs="Times New Roman"/>
                <w:kern w:val="0"/>
                <w:sz w:val="21"/>
                <w:szCs w:val="21"/>
                <w:lang w:val="en-US" w:eastAsia="zh-CN" w:bidi="ar"/>
              </w:rPr>
              <w:t>引进高层次人才1名7万元、紧缺人才3名15万元，共计22万元；蒙医医院开展书记、院长及管理人员职业化培养培训5人2万元；</w:t>
            </w:r>
            <w:r>
              <w:rPr>
                <w:rFonts w:hint="default" w:ascii="Times New Roman" w:hAnsi="Times New Roman" w:eastAsia="仿宋_GB2312" w:cs="Times New Roman"/>
                <w:b/>
                <w:bCs/>
                <w:kern w:val="0"/>
                <w:sz w:val="21"/>
                <w:szCs w:val="21"/>
                <w:lang w:val="en-US" w:eastAsia="zh-CN" w:bidi="ar"/>
              </w:rPr>
              <w:t>蒙医医院</w:t>
            </w:r>
            <w:r>
              <w:rPr>
                <w:rFonts w:hint="default" w:ascii="Times New Roman" w:hAnsi="Times New Roman" w:eastAsia="仿宋_GB2312" w:cs="Times New Roman"/>
                <w:kern w:val="0"/>
                <w:sz w:val="21"/>
                <w:szCs w:val="21"/>
                <w:lang w:val="en-US" w:eastAsia="zh-CN" w:bidi="ar"/>
              </w:rPr>
              <w:t>选派4名业务骨干分赴市外2人、市级医院2人学习，共计3万元；</w:t>
            </w:r>
            <w:r>
              <w:rPr>
                <w:rFonts w:hint="default" w:ascii="Times New Roman" w:hAnsi="Times New Roman" w:eastAsia="仿宋_GB2312" w:cs="Times New Roman"/>
                <w:b/>
                <w:bCs/>
                <w:kern w:val="0"/>
                <w:sz w:val="21"/>
                <w:szCs w:val="21"/>
                <w:lang w:val="en-US" w:eastAsia="zh-CN" w:bidi="ar"/>
              </w:rPr>
              <w:t>妇幼</w:t>
            </w:r>
            <w:r>
              <w:rPr>
                <w:rFonts w:hint="default" w:ascii="Times New Roman" w:hAnsi="Times New Roman" w:eastAsia="仿宋_GB2312" w:cs="Times New Roman"/>
                <w:kern w:val="0"/>
                <w:sz w:val="21"/>
                <w:szCs w:val="21"/>
                <w:lang w:val="en-US" w:eastAsia="zh-CN" w:bidi="ar"/>
              </w:rPr>
              <w:t>选拔1名优秀儿科医生赴自治区医院参加90天的儿科进阶培训，费用3万元；引进1名中级职称以上儿科医师，费用5万元。</w:t>
            </w:r>
          </w:p>
          <w:p w14:paraId="1D4E0C69">
            <w:pPr>
              <w:keepNext w:val="0"/>
              <w:keepLines w:val="0"/>
              <w:pageBreakBefore w:val="0"/>
              <w:widowControl/>
              <w:numPr>
                <w:ilvl w:val="0"/>
                <w:numId w:val="0"/>
              </w:numPr>
              <w:suppressLineNumbers w:val="0"/>
              <w:kinsoku/>
              <w:wordWrap/>
              <w:overflowPunct w:val="0"/>
              <w:topLinePunct w:val="0"/>
              <w:autoSpaceDE/>
              <w:autoSpaceDN/>
              <w:bidi w:val="0"/>
              <w:adjustRightInd/>
              <w:snapToGrid/>
              <w:spacing w:before="0" w:beforeAutospacing="0" w:after="0" w:afterAutospacing="0" w:line="320" w:lineRule="exact"/>
              <w:ind w:left="0" w:leftChars="0" w:right="0" w:rightChars="0" w:firstLine="0" w:firstLineChars="0"/>
              <w:jc w:val="both"/>
              <w:textAlignment w:val="center"/>
              <w:rPr>
                <w:rFonts w:hint="default" w:ascii="Times New Roman" w:hAnsi="Times New Roman" w:eastAsia="仿宋_GB2312" w:cs="Times New Roman"/>
                <w:b/>
                <w:bCs/>
                <w:color w:val="auto"/>
                <w:kern w:val="2"/>
                <w:sz w:val="21"/>
                <w:szCs w:val="21"/>
                <w:highlight w:val="none"/>
                <w:lang w:val="en-US" w:eastAsia="zh-CN" w:bidi="ar-SA"/>
              </w:rPr>
            </w:pPr>
            <w:r>
              <w:rPr>
                <w:rFonts w:hint="default" w:ascii="Times New Roman" w:hAnsi="Times New Roman" w:eastAsia="仿宋_GB2312" w:cs="Times New Roman"/>
                <w:b/>
                <w:bCs/>
                <w:color w:val="auto"/>
                <w:sz w:val="21"/>
                <w:szCs w:val="21"/>
                <w:lang w:val="en-US" w:eastAsia="zh-CN"/>
              </w:rPr>
              <w:t>年度投资计划：65万元</w:t>
            </w:r>
          </w:p>
        </w:tc>
        <w:tc>
          <w:tcPr>
            <w:tcW w:w="2644" w:type="dxa"/>
            <w:shd w:val="clear" w:color="auto" w:fill="auto"/>
            <w:noWrap w:val="0"/>
            <w:vAlign w:val="center"/>
          </w:tcPr>
          <w:p w14:paraId="1847A154">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b/>
                <w:bCs/>
                <w:kern w:val="0"/>
                <w:sz w:val="21"/>
                <w:szCs w:val="21"/>
                <w:lang w:val="en-US" w:eastAsia="zh-CN" w:bidi="ar"/>
              </w:rPr>
              <w:t>人才引进与培养</w:t>
            </w:r>
            <w:r>
              <w:rPr>
                <w:rFonts w:hint="default" w:ascii="Times New Roman" w:hAnsi="Times New Roman" w:eastAsia="仿宋_GB2312" w:cs="Times New Roman"/>
                <w:kern w:val="0"/>
                <w:sz w:val="21"/>
                <w:szCs w:val="21"/>
                <w:lang w:val="en-US" w:eastAsia="zh-CN" w:bidi="ar"/>
              </w:rPr>
              <w:t>：旗</w:t>
            </w:r>
            <w:r>
              <w:rPr>
                <w:rFonts w:hint="default" w:ascii="Times New Roman" w:hAnsi="Times New Roman" w:eastAsia="仿宋_GB2312" w:cs="Times New Roman"/>
                <w:b/>
                <w:bCs/>
                <w:kern w:val="0"/>
                <w:sz w:val="21"/>
                <w:szCs w:val="21"/>
                <w:lang w:val="en-US" w:eastAsia="zh-CN" w:bidi="ar"/>
              </w:rPr>
              <w:t>人民医院</w:t>
            </w:r>
            <w:r>
              <w:rPr>
                <w:rFonts w:hint="default" w:ascii="Times New Roman" w:hAnsi="Times New Roman" w:eastAsia="仿宋_GB2312" w:cs="Times New Roman"/>
                <w:kern w:val="0"/>
                <w:sz w:val="21"/>
                <w:szCs w:val="21"/>
                <w:lang w:val="en-US" w:eastAsia="zh-CN" w:bidi="ar"/>
              </w:rPr>
              <w:t>引进重症医学科、康复医学科方向高层次人才2名20万元；</w:t>
            </w:r>
            <w:r>
              <w:rPr>
                <w:rFonts w:hint="default" w:ascii="Times New Roman" w:hAnsi="Times New Roman" w:eastAsia="仿宋_GB2312" w:cs="Times New Roman"/>
                <w:b/>
                <w:bCs/>
                <w:kern w:val="0"/>
                <w:sz w:val="21"/>
                <w:szCs w:val="21"/>
                <w:lang w:val="en-US" w:eastAsia="zh-CN" w:bidi="ar"/>
              </w:rPr>
              <w:t>蒙医医院</w:t>
            </w:r>
            <w:r>
              <w:rPr>
                <w:rFonts w:hint="default" w:ascii="Times New Roman" w:hAnsi="Times New Roman" w:eastAsia="仿宋_GB2312" w:cs="Times New Roman"/>
                <w:kern w:val="0"/>
                <w:sz w:val="21"/>
                <w:szCs w:val="21"/>
                <w:lang w:val="en-US" w:eastAsia="zh-CN" w:bidi="ar"/>
              </w:rPr>
              <w:t>引进高层次人才1名7万元、紧缺人才1名5万元，共计12万元。此外，</w:t>
            </w:r>
            <w:r>
              <w:rPr>
                <w:rFonts w:hint="default" w:ascii="Times New Roman" w:hAnsi="Times New Roman" w:eastAsia="仿宋_GB2312" w:cs="Times New Roman"/>
                <w:b/>
                <w:bCs/>
                <w:kern w:val="0"/>
                <w:sz w:val="21"/>
                <w:szCs w:val="21"/>
                <w:lang w:val="en-US" w:eastAsia="zh-CN" w:bidi="ar"/>
              </w:rPr>
              <w:t>蒙医医院</w:t>
            </w:r>
            <w:r>
              <w:rPr>
                <w:rFonts w:hint="default" w:ascii="Times New Roman" w:hAnsi="Times New Roman" w:eastAsia="仿宋_GB2312" w:cs="Times New Roman"/>
                <w:kern w:val="0"/>
                <w:sz w:val="21"/>
                <w:szCs w:val="21"/>
                <w:lang w:val="en-US" w:eastAsia="zh-CN" w:bidi="ar"/>
              </w:rPr>
              <w:t>延续职业化培养培训2万元；</w:t>
            </w:r>
            <w:r>
              <w:rPr>
                <w:rFonts w:hint="default" w:ascii="Times New Roman" w:hAnsi="Times New Roman" w:eastAsia="仿宋_GB2312" w:cs="Times New Roman"/>
                <w:b/>
                <w:bCs/>
                <w:kern w:val="0"/>
                <w:sz w:val="21"/>
                <w:szCs w:val="21"/>
                <w:lang w:val="en-US" w:eastAsia="zh-CN" w:bidi="ar"/>
              </w:rPr>
              <w:t>蒙医医院</w:t>
            </w:r>
            <w:r>
              <w:rPr>
                <w:rFonts w:hint="default" w:ascii="Times New Roman" w:hAnsi="Times New Roman" w:eastAsia="仿宋_GB2312" w:cs="Times New Roman"/>
                <w:kern w:val="0"/>
                <w:sz w:val="21"/>
                <w:szCs w:val="21"/>
                <w:lang w:val="en-US" w:eastAsia="zh-CN" w:bidi="ar"/>
              </w:rPr>
              <w:t>选派4名业务骨干分赴市外2人、市级医院2人学习，共计3万元；</w:t>
            </w:r>
            <w:r>
              <w:rPr>
                <w:rFonts w:hint="default" w:ascii="Times New Roman" w:hAnsi="Times New Roman" w:eastAsia="仿宋_GB2312" w:cs="Times New Roman"/>
                <w:b/>
                <w:bCs/>
                <w:kern w:val="0"/>
                <w:sz w:val="21"/>
                <w:szCs w:val="21"/>
                <w:lang w:val="en-US" w:eastAsia="zh-CN" w:bidi="ar"/>
              </w:rPr>
              <w:t>妇幼</w:t>
            </w:r>
            <w:r>
              <w:rPr>
                <w:rFonts w:hint="default" w:ascii="Times New Roman" w:hAnsi="Times New Roman" w:eastAsia="仿宋_GB2312" w:cs="Times New Roman"/>
                <w:kern w:val="0"/>
                <w:sz w:val="21"/>
                <w:szCs w:val="21"/>
                <w:lang w:val="en-US" w:eastAsia="zh-CN" w:bidi="ar"/>
              </w:rPr>
              <w:t>选拔1名优秀儿科医生赴自治区医院参加90天的儿科进阶培训，费用3万元；支付引进中级职称以上儿科医师次年费用5万元；</w:t>
            </w:r>
            <w:r>
              <w:rPr>
                <w:rFonts w:hint="default" w:ascii="Times New Roman" w:hAnsi="Times New Roman" w:eastAsia="仿宋_GB2312" w:cs="Times New Roman"/>
                <w:b/>
                <w:bCs/>
                <w:kern w:val="0"/>
                <w:sz w:val="21"/>
                <w:szCs w:val="21"/>
                <w:lang w:val="en-US" w:eastAsia="zh-CN" w:bidi="ar"/>
              </w:rPr>
              <w:t>卫健委</w:t>
            </w:r>
            <w:r>
              <w:rPr>
                <w:rFonts w:hint="default" w:ascii="Times New Roman" w:hAnsi="Times New Roman" w:eastAsia="仿宋_GB2312" w:cs="Times New Roman"/>
                <w:kern w:val="0"/>
                <w:sz w:val="21"/>
                <w:szCs w:val="21"/>
                <w:lang w:val="en-US" w:eastAsia="zh-CN" w:bidi="ar"/>
              </w:rPr>
              <w:t>组织参加市级能力提升培训全科医生2名10万元。</w:t>
            </w:r>
          </w:p>
          <w:p w14:paraId="2D2B4710">
            <w:pPr>
              <w:keepNext w:val="0"/>
              <w:keepLines w:val="0"/>
              <w:pageBreakBefore w:val="0"/>
              <w:widowControl/>
              <w:numPr>
                <w:ilvl w:val="0"/>
                <w:numId w:val="0"/>
              </w:numPr>
              <w:suppressLineNumbers w:val="0"/>
              <w:kinsoku/>
              <w:wordWrap/>
              <w:overflowPunct w:val="0"/>
              <w:topLinePunct w:val="0"/>
              <w:autoSpaceDE/>
              <w:autoSpaceDN/>
              <w:bidi w:val="0"/>
              <w:adjustRightInd/>
              <w:snapToGrid/>
              <w:spacing w:before="0" w:beforeAutospacing="0" w:after="0" w:afterAutospacing="0" w:line="240" w:lineRule="exact"/>
              <w:ind w:left="0" w:leftChars="0" w:right="0" w:rightChars="0" w:firstLine="0" w:firstLineChars="0"/>
              <w:jc w:val="both"/>
              <w:textAlignment w:val="center"/>
              <w:rPr>
                <w:rFonts w:hint="default" w:ascii="Times New Roman" w:hAnsi="Times New Roman" w:eastAsia="仿宋_GB2312" w:cs="Times New Roman"/>
                <w:b w:val="0"/>
                <w:bCs w:val="0"/>
                <w:color w:val="auto"/>
                <w:kern w:val="2"/>
                <w:sz w:val="21"/>
                <w:szCs w:val="21"/>
                <w:highlight w:val="none"/>
                <w:lang w:val="en-US" w:eastAsia="zh-CN" w:bidi="ar-SA"/>
              </w:rPr>
            </w:pPr>
            <w:r>
              <w:rPr>
                <w:rFonts w:hint="default" w:ascii="Times New Roman" w:hAnsi="Times New Roman" w:eastAsia="仿宋_GB2312" w:cs="Times New Roman"/>
                <w:b/>
                <w:bCs/>
                <w:color w:val="auto"/>
                <w:sz w:val="21"/>
                <w:szCs w:val="21"/>
                <w:lang w:val="en-US" w:eastAsia="zh-CN"/>
              </w:rPr>
              <w:t>年度投资计划：55万元</w:t>
            </w:r>
          </w:p>
        </w:tc>
      </w:tr>
      <w:tr w14:paraId="58025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5" w:hRule="atLeast"/>
          <w:jc w:val="center"/>
        </w:trPr>
        <w:tc>
          <w:tcPr>
            <w:tcW w:w="523" w:type="dxa"/>
            <w:noWrap w:val="0"/>
            <w:vAlign w:val="center"/>
          </w:tcPr>
          <w:p w14:paraId="56FAAE42">
            <w:pPr>
              <w:keepNext w:val="0"/>
              <w:keepLines w:val="0"/>
              <w:pageBreakBefore w:val="0"/>
              <w:suppressLineNumbers w:val="0"/>
              <w:kinsoku/>
              <w:wordWrap/>
              <w:overflowPunct w:val="0"/>
              <w:topLinePunct w:val="0"/>
              <w:autoSpaceDE/>
              <w:autoSpaceDN/>
              <w:bidi w:val="0"/>
              <w:adjustRightInd/>
              <w:snapToGrid/>
              <w:spacing w:before="0" w:beforeAutospacing="0" w:after="0" w:afterAutospacing="0" w:line="320" w:lineRule="exact"/>
              <w:ind w:left="0" w:right="0"/>
              <w:jc w:val="center"/>
              <w:rPr>
                <w:rFonts w:hint="default" w:ascii="Times New Roman" w:hAnsi="Times New Roman" w:eastAsia="仿宋_GB2312" w:cs="Times New Roman"/>
                <w:b/>
                <w:bCs/>
                <w:color w:val="auto"/>
                <w:kern w:val="2"/>
                <w:sz w:val="21"/>
                <w:szCs w:val="21"/>
                <w:highlight w:val="none"/>
                <w:lang w:val="en-US" w:eastAsia="zh-CN" w:bidi="ar-SA"/>
              </w:rPr>
            </w:pPr>
            <w:r>
              <w:rPr>
                <w:rFonts w:hint="default" w:ascii="Times New Roman" w:hAnsi="Times New Roman" w:eastAsia="仿宋_GB2312" w:cs="Times New Roman"/>
                <w:b/>
                <w:bCs/>
                <w:color w:val="auto"/>
                <w:sz w:val="21"/>
                <w:szCs w:val="21"/>
                <w:highlight w:val="none"/>
                <w:lang w:val="en-US" w:eastAsia="zh-CN"/>
              </w:rPr>
              <w:t>4</w:t>
            </w:r>
          </w:p>
        </w:tc>
        <w:tc>
          <w:tcPr>
            <w:tcW w:w="782" w:type="dxa"/>
            <w:shd w:val="clear" w:color="auto" w:fill="auto"/>
            <w:noWrap w:val="0"/>
            <w:vAlign w:val="center"/>
          </w:tcPr>
          <w:p w14:paraId="767357FC">
            <w:pPr>
              <w:keepNext w:val="0"/>
              <w:keepLines w:val="0"/>
              <w:pageBreakBefore w:val="0"/>
              <w:widowControl/>
              <w:suppressLineNumbers w:val="0"/>
              <w:kinsoku/>
              <w:wordWrap/>
              <w:overflowPunct w:val="0"/>
              <w:topLinePunct w:val="0"/>
              <w:autoSpaceDE/>
              <w:autoSpaceDN/>
              <w:bidi w:val="0"/>
              <w:adjustRightInd/>
              <w:snapToGrid/>
              <w:spacing w:before="0" w:beforeAutospacing="0" w:after="0" w:afterAutospacing="0" w:line="320" w:lineRule="exact"/>
              <w:ind w:left="0" w:leftChars="0" w:right="0" w:rightChars="0"/>
              <w:jc w:val="center"/>
              <w:textAlignment w:val="center"/>
              <w:rPr>
                <w:rFonts w:hint="default" w:ascii="Times New Roman" w:hAnsi="Times New Roman" w:eastAsia="仿宋_GB2312" w:cs="Times New Roman"/>
                <w:b w:val="0"/>
                <w:bCs w:val="0"/>
                <w:color w:val="auto"/>
                <w:kern w:val="2"/>
                <w:sz w:val="21"/>
                <w:szCs w:val="21"/>
                <w:highlight w:val="none"/>
                <w:lang w:val="en-US" w:eastAsia="zh-CN" w:bidi="ar-SA"/>
              </w:rPr>
            </w:pPr>
            <w:r>
              <w:rPr>
                <w:rFonts w:hint="default" w:ascii="Times New Roman" w:hAnsi="Times New Roman" w:eastAsia="仿宋_GB2312" w:cs="Times New Roman"/>
                <w:b w:val="0"/>
                <w:bCs w:val="0"/>
                <w:color w:val="auto"/>
                <w:kern w:val="0"/>
                <w:sz w:val="21"/>
                <w:szCs w:val="21"/>
                <w:highlight w:val="none"/>
                <w:lang w:val="en-US" w:eastAsia="zh-CN" w:bidi="ar"/>
              </w:rPr>
              <w:t>旗县中蒙医院中医优势专科建设项目</w:t>
            </w:r>
          </w:p>
        </w:tc>
        <w:tc>
          <w:tcPr>
            <w:tcW w:w="881" w:type="dxa"/>
            <w:shd w:val="clear" w:color="auto" w:fill="auto"/>
            <w:noWrap w:val="0"/>
            <w:vAlign w:val="center"/>
          </w:tcPr>
          <w:p w14:paraId="1885FDAA">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auto"/>
              <w:rPr>
                <w:rFonts w:hint="default" w:ascii="Times New Roman" w:hAnsi="Times New Roman" w:eastAsia="仿宋_GB2312" w:cs="Times New Roman"/>
                <w:b w:val="0"/>
                <w:bCs w:val="0"/>
                <w:color w:val="auto"/>
                <w:kern w:val="2"/>
                <w:sz w:val="21"/>
                <w:szCs w:val="21"/>
                <w:highlight w:val="none"/>
                <w:lang w:val="en-US" w:eastAsia="zh-CN" w:bidi="ar-SA"/>
              </w:rPr>
            </w:pPr>
            <w:r>
              <w:rPr>
                <w:rFonts w:hint="default" w:ascii="Times New Roman" w:hAnsi="Times New Roman" w:eastAsia="仿宋_GB2312" w:cs="Times New Roman"/>
                <w:sz w:val="21"/>
                <w:szCs w:val="21"/>
                <w:lang w:eastAsia="zh-CN"/>
              </w:rPr>
              <w:t>乌拉特后旗蒙医医院</w:t>
            </w:r>
            <w:r>
              <w:rPr>
                <w:rFonts w:hint="default" w:ascii="Times New Roman" w:hAnsi="Times New Roman" w:eastAsia="仿宋_GB2312" w:cs="Times New Roman"/>
                <w:sz w:val="21"/>
                <w:szCs w:val="21"/>
                <w:lang w:val="en-US" w:eastAsia="zh-CN"/>
              </w:rPr>
              <w:t>蒙医传统疗术科建设项目实施方案</w:t>
            </w:r>
          </w:p>
        </w:tc>
        <w:tc>
          <w:tcPr>
            <w:tcW w:w="975" w:type="dxa"/>
            <w:shd w:val="clear" w:color="auto" w:fill="auto"/>
            <w:noWrap w:val="0"/>
            <w:vAlign w:val="center"/>
          </w:tcPr>
          <w:p w14:paraId="5DCD2D09">
            <w:pPr>
              <w:keepNext w:val="0"/>
              <w:keepLines w:val="0"/>
              <w:pageBreakBefore w:val="0"/>
              <w:widowControl/>
              <w:suppressLineNumbers w:val="0"/>
              <w:kinsoku/>
              <w:wordWrap/>
              <w:overflowPunct w:val="0"/>
              <w:topLinePunct w:val="0"/>
              <w:autoSpaceDE/>
              <w:autoSpaceDN/>
              <w:bidi w:val="0"/>
              <w:adjustRightInd/>
              <w:snapToGrid/>
              <w:spacing w:before="0" w:beforeAutospacing="0" w:after="0" w:afterAutospacing="0" w:line="320" w:lineRule="exact"/>
              <w:ind w:left="0" w:leftChars="0" w:right="0" w:rightChars="0"/>
              <w:jc w:val="center"/>
              <w:textAlignment w:val="center"/>
              <w:rPr>
                <w:rFonts w:hint="default" w:ascii="Times New Roman" w:hAnsi="Times New Roman" w:eastAsia="仿宋_GB2312" w:cs="Times New Roman"/>
                <w:b w:val="0"/>
                <w:bCs w:val="0"/>
                <w:color w:val="auto"/>
                <w:kern w:val="0"/>
                <w:sz w:val="21"/>
                <w:szCs w:val="21"/>
                <w:highlight w:val="none"/>
                <w:lang w:val="en-US" w:eastAsia="zh-CN" w:bidi="ar"/>
              </w:rPr>
            </w:pPr>
            <w:r>
              <w:rPr>
                <w:rFonts w:hint="default" w:ascii="Times New Roman" w:hAnsi="Times New Roman" w:eastAsia="仿宋_GB2312" w:cs="Times New Roman"/>
                <w:b w:val="0"/>
                <w:bCs w:val="0"/>
                <w:color w:val="auto"/>
                <w:sz w:val="21"/>
                <w:szCs w:val="21"/>
                <w:highlight w:val="none"/>
                <w:lang w:val="en-US" w:eastAsia="zh-CN"/>
              </w:rPr>
              <w:t>乌拉特后旗蒙医医院</w:t>
            </w:r>
          </w:p>
        </w:tc>
        <w:tc>
          <w:tcPr>
            <w:tcW w:w="2681" w:type="dxa"/>
            <w:noWrap w:val="0"/>
            <w:vAlign w:val="center"/>
          </w:tcPr>
          <w:p w14:paraId="2F314184">
            <w:pPr>
              <w:keepNext w:val="0"/>
              <w:keepLines w:val="0"/>
              <w:pageBreakBefore w:val="0"/>
              <w:suppressLineNumbers w:val="0"/>
              <w:kinsoku/>
              <w:wordWrap/>
              <w:topLinePunct w:val="0"/>
              <w:autoSpaceDE/>
              <w:autoSpaceDN/>
              <w:bidi w:val="0"/>
              <w:adjustRightInd/>
              <w:snapToGrid/>
              <w:spacing w:before="0" w:beforeAutospacing="0" w:after="0" w:afterAutospacing="0" w:line="320" w:lineRule="exact"/>
              <w:ind w:left="0" w:right="0"/>
              <w:jc w:val="both"/>
              <w:rPr>
                <w:rFonts w:hint="default" w:ascii="Times New Roman" w:hAnsi="Times New Roman" w:eastAsia="仿宋_GB2312" w:cs="Times New Roman"/>
                <w:b w:val="0"/>
                <w:bCs w:val="0"/>
                <w:color w:val="auto"/>
                <w:sz w:val="21"/>
                <w:szCs w:val="21"/>
                <w:highlight w:val="none"/>
                <w:lang w:val="en-US" w:eastAsia="zh-CN"/>
              </w:rPr>
            </w:pPr>
            <w:r>
              <w:rPr>
                <w:rFonts w:hint="default" w:ascii="Times New Roman" w:hAnsi="Times New Roman" w:eastAsia="仿宋_GB2312" w:cs="Times New Roman"/>
                <w:b w:val="0"/>
                <w:bCs w:val="0"/>
                <w:color w:val="auto"/>
                <w:sz w:val="21"/>
                <w:szCs w:val="21"/>
                <w:highlight w:val="none"/>
                <w:lang w:val="en-US" w:eastAsia="zh-CN"/>
              </w:rPr>
              <w:t>人员外出培训，聘请专家讲座等。购置设备。全面提升诊疗康复服务能力，着力构建防治康养一体化蒙医特色服务体系。</w:t>
            </w:r>
          </w:p>
        </w:tc>
        <w:tc>
          <w:tcPr>
            <w:tcW w:w="640" w:type="dxa"/>
            <w:noWrap w:val="0"/>
            <w:vAlign w:val="center"/>
          </w:tcPr>
          <w:p w14:paraId="1D97F7D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jc w:val="center"/>
              <w:textAlignment w:val="auto"/>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sz w:val="21"/>
                <w:szCs w:val="21"/>
                <w:shd w:val="clear" w:color="auto" w:fill="auto"/>
                <w:vertAlign w:val="baseline"/>
                <w:lang w:val="en-US" w:eastAsia="zh-CN"/>
              </w:rPr>
              <w:t>59</w:t>
            </w:r>
          </w:p>
        </w:tc>
        <w:tc>
          <w:tcPr>
            <w:tcW w:w="825" w:type="dxa"/>
            <w:noWrap w:val="0"/>
            <w:vAlign w:val="center"/>
          </w:tcPr>
          <w:p w14:paraId="69C18B0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jc w:val="center"/>
              <w:textAlignment w:val="auto"/>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sz w:val="21"/>
                <w:szCs w:val="21"/>
                <w:shd w:val="clear" w:color="auto" w:fill="auto"/>
                <w:vertAlign w:val="baseline"/>
                <w:lang w:val="en-US" w:eastAsia="zh-CN"/>
              </w:rPr>
              <w:t>36</w:t>
            </w:r>
          </w:p>
        </w:tc>
        <w:tc>
          <w:tcPr>
            <w:tcW w:w="750" w:type="dxa"/>
            <w:noWrap w:val="0"/>
            <w:vAlign w:val="center"/>
          </w:tcPr>
          <w:p w14:paraId="6A6B15E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jc w:val="center"/>
              <w:textAlignment w:val="auto"/>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sz w:val="21"/>
                <w:szCs w:val="21"/>
                <w:shd w:val="clear" w:color="auto" w:fill="auto"/>
                <w:vertAlign w:val="baseline"/>
                <w:lang w:val="en-US" w:eastAsia="zh-CN"/>
              </w:rPr>
              <w:t>0</w:t>
            </w:r>
          </w:p>
        </w:tc>
        <w:tc>
          <w:tcPr>
            <w:tcW w:w="885" w:type="dxa"/>
            <w:noWrap w:val="0"/>
            <w:vAlign w:val="center"/>
          </w:tcPr>
          <w:p w14:paraId="51FA06D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jc w:val="center"/>
              <w:textAlignment w:val="auto"/>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sz w:val="21"/>
                <w:szCs w:val="21"/>
                <w:shd w:val="clear" w:color="auto" w:fill="auto"/>
                <w:vertAlign w:val="baseline"/>
                <w:lang w:val="en-US" w:eastAsia="zh-CN"/>
              </w:rPr>
              <w:t>19</w:t>
            </w:r>
          </w:p>
        </w:tc>
        <w:tc>
          <w:tcPr>
            <w:tcW w:w="660" w:type="dxa"/>
            <w:noWrap w:val="0"/>
            <w:vAlign w:val="center"/>
          </w:tcPr>
          <w:p w14:paraId="0215B57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jc w:val="center"/>
              <w:textAlignment w:val="auto"/>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sz w:val="21"/>
                <w:szCs w:val="21"/>
                <w:shd w:val="clear" w:color="auto" w:fill="auto"/>
                <w:vertAlign w:val="baseline"/>
                <w:lang w:val="en-US" w:eastAsia="zh-CN"/>
              </w:rPr>
              <w:t>4</w:t>
            </w:r>
          </w:p>
        </w:tc>
        <w:tc>
          <w:tcPr>
            <w:tcW w:w="3022" w:type="dxa"/>
            <w:noWrap w:val="0"/>
            <w:vAlign w:val="center"/>
          </w:tcPr>
          <w:p w14:paraId="265A55C5">
            <w:pPr>
              <w:keepNext w:val="0"/>
              <w:keepLines w:val="0"/>
              <w:pageBreakBefore w:val="0"/>
              <w:widowControl/>
              <w:numPr>
                <w:ilvl w:val="0"/>
                <w:numId w:val="0"/>
              </w:numPr>
              <w:suppressLineNumbers w:val="0"/>
              <w:kinsoku/>
              <w:wordWrap/>
              <w:topLinePunct w:val="0"/>
              <w:autoSpaceDE/>
              <w:autoSpaceDN/>
              <w:bidi w:val="0"/>
              <w:adjustRightInd/>
              <w:snapToGrid/>
              <w:spacing w:before="0" w:beforeAutospacing="0" w:after="0" w:afterAutospacing="0" w:line="320" w:lineRule="exact"/>
              <w:ind w:right="0" w:rightChars="0"/>
              <w:jc w:val="both"/>
              <w:textAlignment w:val="top"/>
              <w:rPr>
                <w:rFonts w:hint="default"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b/>
                <w:bCs/>
                <w:i w:val="0"/>
                <w:iCs w:val="0"/>
                <w:color w:val="000000"/>
                <w:kern w:val="0"/>
                <w:sz w:val="21"/>
                <w:szCs w:val="21"/>
                <w:u w:val="none"/>
                <w:lang w:val="en-US" w:eastAsia="zh-CN" w:bidi="ar"/>
              </w:rPr>
              <w:t>1.</w:t>
            </w:r>
            <w:r>
              <w:rPr>
                <w:rFonts w:hint="default" w:ascii="Times New Roman" w:hAnsi="Times New Roman" w:eastAsia="仿宋_GB2312" w:cs="Times New Roman"/>
                <w:b/>
                <w:bCs/>
                <w:i w:val="0"/>
                <w:iCs w:val="0"/>
                <w:color w:val="000000"/>
                <w:kern w:val="0"/>
                <w:sz w:val="21"/>
                <w:szCs w:val="21"/>
                <w:u w:val="none"/>
                <w:lang w:val="en-US" w:eastAsia="zh-CN" w:bidi="ar"/>
              </w:rPr>
              <w:t>设备购置：</w:t>
            </w:r>
            <w:r>
              <w:rPr>
                <w:rFonts w:hint="default" w:ascii="Times New Roman" w:hAnsi="Times New Roman" w:eastAsia="仿宋_GB2312" w:cs="Times New Roman"/>
                <w:i w:val="0"/>
                <w:iCs w:val="0"/>
                <w:color w:val="000000"/>
                <w:kern w:val="0"/>
                <w:sz w:val="21"/>
                <w:szCs w:val="21"/>
                <w:u w:val="none"/>
                <w:lang w:val="en-US" w:eastAsia="zh-CN" w:bidi="ar"/>
              </w:rPr>
              <w:t>购置电脑恒温蜡疗机1台5.2万元。</w:t>
            </w:r>
          </w:p>
          <w:p w14:paraId="21ECAEFE">
            <w:pPr>
              <w:keepNext w:val="0"/>
              <w:keepLines w:val="0"/>
              <w:pageBreakBefore w:val="0"/>
              <w:widowControl/>
              <w:numPr>
                <w:ilvl w:val="0"/>
                <w:numId w:val="0"/>
              </w:numPr>
              <w:suppressLineNumbers w:val="0"/>
              <w:kinsoku/>
              <w:wordWrap/>
              <w:topLinePunct w:val="0"/>
              <w:autoSpaceDE/>
              <w:autoSpaceDN/>
              <w:bidi w:val="0"/>
              <w:adjustRightInd/>
              <w:snapToGrid/>
              <w:spacing w:before="0" w:beforeAutospacing="0" w:after="0" w:afterAutospacing="0" w:line="320" w:lineRule="exact"/>
              <w:ind w:right="0" w:rightChars="0"/>
              <w:jc w:val="both"/>
              <w:textAlignment w:val="top"/>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2.人才培养：</w:t>
            </w:r>
            <w:r>
              <w:rPr>
                <w:rFonts w:hint="default" w:ascii="Times New Roman" w:hAnsi="Times New Roman" w:eastAsia="仿宋_GB2312" w:cs="Times New Roman"/>
                <w:i w:val="0"/>
                <w:iCs w:val="0"/>
                <w:color w:val="000000"/>
                <w:kern w:val="0"/>
                <w:sz w:val="21"/>
                <w:szCs w:val="21"/>
                <w:u w:val="none"/>
                <w:lang w:val="en-US" w:eastAsia="zh-CN" w:bidi="ar"/>
              </w:rPr>
              <w:t>分两批次选派2名业务骨干外出进修6万元，组织2次区内外学术交流与专项培训7.6万元，每次安排蒙医传统疗术科5名核心技术人员参训。</w:t>
            </w:r>
          </w:p>
          <w:p w14:paraId="64FE3586">
            <w:pPr>
              <w:keepNext w:val="0"/>
              <w:keepLines w:val="0"/>
              <w:pageBreakBefore w:val="0"/>
              <w:widowControl/>
              <w:numPr>
                <w:ilvl w:val="0"/>
                <w:numId w:val="0"/>
              </w:numPr>
              <w:suppressLineNumbers w:val="0"/>
              <w:kinsoku/>
              <w:wordWrap/>
              <w:topLinePunct w:val="0"/>
              <w:autoSpaceDE/>
              <w:autoSpaceDN/>
              <w:bidi w:val="0"/>
              <w:adjustRightInd/>
              <w:snapToGrid/>
              <w:spacing w:before="0" w:beforeAutospacing="0" w:after="0" w:afterAutospacing="0" w:line="320" w:lineRule="exact"/>
              <w:ind w:right="0" w:rightChars="0"/>
              <w:jc w:val="both"/>
              <w:textAlignment w:val="top"/>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3.专家团队帮扶：</w:t>
            </w:r>
            <w:r>
              <w:rPr>
                <w:rFonts w:hint="default" w:ascii="Times New Roman" w:hAnsi="Times New Roman" w:eastAsia="仿宋_GB2312" w:cs="Times New Roman"/>
                <w:i w:val="0"/>
                <w:iCs w:val="0"/>
                <w:color w:val="000000"/>
                <w:kern w:val="0"/>
                <w:sz w:val="21"/>
                <w:szCs w:val="21"/>
                <w:u w:val="none"/>
                <w:lang w:val="en-US" w:eastAsia="zh-CN" w:bidi="ar"/>
              </w:rPr>
              <w:t>先后邀请6人次国家、自治区区级蒙医传统疗术科专家来院指导3万元，邀请2名自治区级蒙医疗术专家分批次驻点医院6个月12万元。</w:t>
            </w:r>
          </w:p>
          <w:p w14:paraId="07F74753">
            <w:pPr>
              <w:keepNext w:val="0"/>
              <w:keepLines w:val="0"/>
              <w:pageBreakBefore w:val="0"/>
              <w:widowControl/>
              <w:numPr>
                <w:ilvl w:val="0"/>
                <w:numId w:val="0"/>
              </w:numPr>
              <w:suppressLineNumbers w:val="0"/>
              <w:kinsoku/>
              <w:wordWrap/>
              <w:topLinePunct w:val="0"/>
              <w:autoSpaceDE/>
              <w:autoSpaceDN/>
              <w:bidi w:val="0"/>
              <w:adjustRightInd/>
              <w:snapToGrid/>
              <w:spacing w:before="0" w:beforeAutospacing="0" w:after="0" w:afterAutospacing="0" w:line="320" w:lineRule="exact"/>
              <w:ind w:right="0" w:rightChars="0"/>
              <w:jc w:val="both"/>
              <w:textAlignment w:val="top"/>
              <w:rPr>
                <w:rFonts w:hint="default" w:ascii="Times New Roman" w:hAnsi="Times New Roman" w:eastAsia="仿宋_GB2312" w:cs="Times New Roman"/>
                <w:b w:val="0"/>
                <w:bCs w:val="0"/>
                <w:color w:val="auto"/>
                <w:sz w:val="21"/>
                <w:szCs w:val="21"/>
                <w:highlight w:val="none"/>
                <w:lang w:val="en-US" w:eastAsia="zh-CN"/>
              </w:rPr>
            </w:pPr>
            <w:r>
              <w:rPr>
                <w:rFonts w:hint="default" w:ascii="Times New Roman" w:hAnsi="Times New Roman" w:eastAsia="仿宋_GB2312" w:cs="Times New Roman"/>
                <w:b/>
                <w:bCs/>
                <w:i w:val="0"/>
                <w:iCs w:val="0"/>
                <w:color w:val="000000"/>
                <w:kern w:val="0"/>
                <w:sz w:val="21"/>
                <w:szCs w:val="21"/>
                <w:u w:val="none"/>
                <w:lang w:val="en-US" w:eastAsia="zh-CN" w:bidi="ar"/>
              </w:rPr>
              <w:t>年度投资计划：33.8万元</w:t>
            </w:r>
          </w:p>
        </w:tc>
        <w:tc>
          <w:tcPr>
            <w:tcW w:w="2644" w:type="dxa"/>
            <w:noWrap w:val="0"/>
            <w:vAlign w:val="center"/>
          </w:tcPr>
          <w:p w14:paraId="0DEF2CA5">
            <w:pPr>
              <w:keepNext w:val="0"/>
              <w:keepLines w:val="0"/>
              <w:pageBreakBefore w:val="0"/>
              <w:widowControl/>
              <w:suppressLineNumbers w:val="0"/>
              <w:kinsoku/>
              <w:wordWrap/>
              <w:topLinePunct w:val="0"/>
              <w:autoSpaceDE/>
              <w:autoSpaceDN/>
              <w:bidi w:val="0"/>
              <w:adjustRightInd/>
              <w:snapToGrid/>
              <w:spacing w:before="0" w:beforeAutospacing="0" w:after="0" w:afterAutospacing="0" w:line="320" w:lineRule="exact"/>
              <w:ind w:left="0" w:right="0"/>
              <w:jc w:val="both"/>
              <w:textAlignment w:val="top"/>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1.人才培养：</w:t>
            </w:r>
            <w:r>
              <w:rPr>
                <w:rFonts w:hint="default" w:ascii="Times New Roman" w:hAnsi="Times New Roman" w:eastAsia="仿宋_GB2312" w:cs="Times New Roman"/>
                <w:i w:val="0"/>
                <w:iCs w:val="0"/>
                <w:color w:val="000000"/>
                <w:kern w:val="0"/>
                <w:sz w:val="21"/>
                <w:szCs w:val="21"/>
                <w:u w:val="none"/>
                <w:lang w:val="en-US" w:eastAsia="zh-CN" w:bidi="ar"/>
              </w:rPr>
              <w:t>选派1名蒙医传统疗术科骨干、外出进修3万元；组织1次区内外学术交流与专项培训，每次安排蒙医传统疗术科5名核心技术人员参训4.2万元。</w:t>
            </w:r>
          </w:p>
          <w:p w14:paraId="15F589FE">
            <w:pPr>
              <w:keepNext w:val="0"/>
              <w:keepLines w:val="0"/>
              <w:pageBreakBefore w:val="0"/>
              <w:widowControl/>
              <w:suppressLineNumbers w:val="0"/>
              <w:kinsoku/>
              <w:wordWrap/>
              <w:topLinePunct w:val="0"/>
              <w:autoSpaceDE/>
              <w:autoSpaceDN/>
              <w:bidi w:val="0"/>
              <w:adjustRightInd/>
              <w:snapToGrid/>
              <w:spacing w:before="0" w:beforeAutospacing="0" w:after="0" w:afterAutospacing="0" w:line="320" w:lineRule="exact"/>
              <w:ind w:left="0" w:right="0"/>
              <w:jc w:val="both"/>
              <w:textAlignment w:val="top"/>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2.专家团队帮扶：</w:t>
            </w:r>
            <w:r>
              <w:rPr>
                <w:rFonts w:hint="default" w:ascii="Times New Roman" w:hAnsi="Times New Roman" w:eastAsia="仿宋_GB2312" w:cs="Times New Roman"/>
                <w:i w:val="0"/>
                <w:iCs w:val="0"/>
                <w:color w:val="000000"/>
                <w:kern w:val="0"/>
                <w:sz w:val="21"/>
                <w:szCs w:val="21"/>
                <w:u w:val="none"/>
                <w:lang w:val="en-US" w:eastAsia="zh-CN" w:bidi="ar"/>
              </w:rPr>
              <w:t>先后邀请12人次国家、自治区级蒙医传统疗术科专家来院指导3万元。邀请3名自治区级蒙医疗术专家分批次驻点医院6个月15万元。</w:t>
            </w:r>
          </w:p>
          <w:p w14:paraId="08C954F1">
            <w:pPr>
              <w:keepNext w:val="0"/>
              <w:keepLines w:val="0"/>
              <w:pageBreakBefore w:val="0"/>
              <w:widowControl/>
              <w:suppressLineNumbers w:val="0"/>
              <w:kinsoku/>
              <w:wordWrap/>
              <w:topLinePunct w:val="0"/>
              <w:autoSpaceDE/>
              <w:autoSpaceDN/>
              <w:bidi w:val="0"/>
              <w:adjustRightInd/>
              <w:snapToGrid/>
              <w:spacing w:before="0" w:beforeAutospacing="0" w:after="0" w:afterAutospacing="0" w:line="320" w:lineRule="exact"/>
              <w:ind w:left="0" w:right="0"/>
              <w:jc w:val="both"/>
              <w:textAlignment w:val="top"/>
              <w:rPr>
                <w:rFonts w:hint="default" w:ascii="Times New Roman" w:hAnsi="Times New Roman" w:eastAsia="仿宋_GB2312" w:cs="Times New Roman"/>
                <w:b w:val="0"/>
                <w:bCs w:val="0"/>
                <w:color w:val="auto"/>
                <w:sz w:val="21"/>
                <w:szCs w:val="21"/>
                <w:highlight w:val="none"/>
                <w:lang w:val="en-US" w:eastAsia="zh-CN"/>
              </w:rPr>
            </w:pPr>
            <w:r>
              <w:rPr>
                <w:rFonts w:hint="default" w:ascii="Times New Roman" w:hAnsi="Times New Roman" w:eastAsia="仿宋_GB2312" w:cs="Times New Roman"/>
                <w:b/>
                <w:bCs/>
                <w:i w:val="0"/>
                <w:iCs w:val="0"/>
                <w:color w:val="000000"/>
                <w:kern w:val="0"/>
                <w:sz w:val="21"/>
                <w:szCs w:val="21"/>
                <w:u w:val="none"/>
                <w:lang w:val="en-US" w:eastAsia="zh-CN" w:bidi="ar"/>
              </w:rPr>
              <w:t>年度投资计划：25.2万元</w:t>
            </w:r>
          </w:p>
        </w:tc>
      </w:tr>
      <w:tr w14:paraId="34B1F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30" w:hRule="atLeast"/>
          <w:jc w:val="center"/>
        </w:trPr>
        <w:tc>
          <w:tcPr>
            <w:tcW w:w="523" w:type="dxa"/>
            <w:shd w:val="clear" w:color="auto" w:fill="auto"/>
            <w:noWrap w:val="0"/>
            <w:vAlign w:val="center"/>
          </w:tcPr>
          <w:p w14:paraId="6294C377">
            <w:pPr>
              <w:keepNext w:val="0"/>
              <w:keepLines w:val="0"/>
              <w:pageBreakBefore w:val="0"/>
              <w:suppressLineNumbers w:val="0"/>
              <w:kinsoku/>
              <w:wordWrap/>
              <w:overflowPunct w:val="0"/>
              <w:topLinePunct w:val="0"/>
              <w:autoSpaceDE/>
              <w:autoSpaceDN/>
              <w:bidi w:val="0"/>
              <w:adjustRightInd/>
              <w:snapToGrid/>
              <w:spacing w:before="0" w:beforeAutospacing="0" w:after="0" w:afterAutospacing="0" w:line="320" w:lineRule="exact"/>
              <w:ind w:left="0" w:leftChars="0" w:right="0" w:rightChars="0"/>
              <w:jc w:val="center"/>
              <w:rPr>
                <w:rFonts w:hint="default" w:ascii="Times New Roman" w:hAnsi="Times New Roman" w:eastAsia="仿宋_GB2312" w:cs="Times New Roman"/>
                <w:b/>
                <w:bCs/>
                <w:color w:val="auto"/>
                <w:kern w:val="2"/>
                <w:sz w:val="21"/>
                <w:szCs w:val="21"/>
                <w:highlight w:val="none"/>
                <w:lang w:val="en-US" w:eastAsia="zh-CN" w:bidi="ar-SA"/>
              </w:rPr>
            </w:pPr>
            <w:r>
              <w:rPr>
                <w:rFonts w:hint="default" w:ascii="Times New Roman" w:hAnsi="Times New Roman" w:eastAsia="仿宋_GB2312" w:cs="Times New Roman"/>
                <w:b/>
                <w:bCs/>
                <w:color w:val="auto"/>
                <w:sz w:val="21"/>
                <w:szCs w:val="21"/>
                <w:highlight w:val="none"/>
                <w:lang w:val="en-US" w:eastAsia="zh-CN"/>
              </w:rPr>
              <w:t>5</w:t>
            </w:r>
          </w:p>
        </w:tc>
        <w:tc>
          <w:tcPr>
            <w:tcW w:w="782" w:type="dxa"/>
            <w:shd w:val="clear" w:color="auto" w:fill="auto"/>
            <w:noWrap w:val="0"/>
            <w:vAlign w:val="center"/>
          </w:tcPr>
          <w:p w14:paraId="4805171A">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auto"/>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b w:val="0"/>
                <w:bCs w:val="0"/>
                <w:color w:val="auto"/>
                <w:kern w:val="0"/>
                <w:sz w:val="21"/>
                <w:szCs w:val="21"/>
                <w:highlight w:val="none"/>
                <w:lang w:val="en-US" w:eastAsia="zh-CN" w:bidi="ar"/>
              </w:rPr>
              <w:t>旗县中蒙医院中医优势专科建设项目</w:t>
            </w:r>
          </w:p>
          <w:p w14:paraId="14FC1661">
            <w:pPr>
              <w:keepNext w:val="0"/>
              <w:keepLines w:val="0"/>
              <w:pageBreakBefore w:val="0"/>
              <w:widowControl/>
              <w:suppressLineNumbers w:val="0"/>
              <w:kinsoku/>
              <w:wordWrap/>
              <w:overflowPunct w:val="0"/>
              <w:topLinePunct w:val="0"/>
              <w:autoSpaceDE/>
              <w:autoSpaceDN/>
              <w:bidi w:val="0"/>
              <w:adjustRightInd/>
              <w:snapToGrid/>
              <w:spacing w:before="0" w:beforeAutospacing="0" w:after="0" w:afterAutospacing="0" w:line="320" w:lineRule="exact"/>
              <w:ind w:left="0" w:leftChars="0" w:right="0" w:rightChars="0"/>
              <w:jc w:val="center"/>
              <w:textAlignment w:val="center"/>
              <w:rPr>
                <w:rFonts w:hint="default" w:ascii="Times New Roman" w:hAnsi="Times New Roman" w:eastAsia="仿宋_GB2312" w:cs="Times New Roman"/>
                <w:b w:val="0"/>
                <w:bCs w:val="0"/>
                <w:color w:val="auto"/>
                <w:kern w:val="2"/>
                <w:sz w:val="21"/>
                <w:szCs w:val="21"/>
                <w:highlight w:val="none"/>
                <w:lang w:val="en-US" w:eastAsia="zh-CN" w:bidi="ar-SA"/>
              </w:rPr>
            </w:pPr>
          </w:p>
        </w:tc>
        <w:tc>
          <w:tcPr>
            <w:tcW w:w="881" w:type="dxa"/>
            <w:shd w:val="clear" w:color="auto" w:fill="auto"/>
            <w:noWrap w:val="0"/>
            <w:vAlign w:val="center"/>
          </w:tcPr>
          <w:p w14:paraId="75AF25C2">
            <w:pPr>
              <w:keepNext w:val="0"/>
              <w:keepLines w:val="0"/>
              <w:pageBreakBefore w:val="0"/>
              <w:widowControl/>
              <w:suppressLineNumbers w:val="0"/>
              <w:kinsoku/>
              <w:wordWrap/>
              <w:overflowPunct w:val="0"/>
              <w:topLinePunct w:val="0"/>
              <w:autoSpaceDE/>
              <w:autoSpaceDN/>
              <w:bidi w:val="0"/>
              <w:adjustRightInd/>
              <w:snapToGrid/>
              <w:spacing w:before="0" w:beforeAutospacing="0" w:after="0" w:afterAutospacing="0" w:line="320" w:lineRule="exact"/>
              <w:ind w:left="0" w:leftChars="0" w:right="0" w:rightChars="0"/>
              <w:jc w:val="center"/>
              <w:textAlignment w:val="center"/>
              <w:rPr>
                <w:rFonts w:hint="default" w:ascii="Times New Roman" w:hAnsi="Times New Roman" w:eastAsia="仿宋_GB2312" w:cs="Times New Roman"/>
                <w:b w:val="0"/>
                <w:bCs w:val="0"/>
                <w:color w:val="auto"/>
                <w:kern w:val="2"/>
                <w:sz w:val="21"/>
                <w:szCs w:val="21"/>
                <w:highlight w:val="none"/>
                <w:lang w:val="en-US" w:eastAsia="zh-CN" w:bidi="ar-SA"/>
              </w:rPr>
            </w:pPr>
            <w:r>
              <w:rPr>
                <w:rFonts w:hint="default" w:ascii="Times New Roman" w:hAnsi="Times New Roman" w:eastAsia="仿宋_GB2312" w:cs="Times New Roman"/>
                <w:sz w:val="21"/>
                <w:szCs w:val="21"/>
                <w:lang w:eastAsia="zh-CN"/>
              </w:rPr>
              <w:t>乌拉特后旗蒙医医院</w:t>
            </w:r>
            <w:r>
              <w:rPr>
                <w:rFonts w:hint="default" w:ascii="Times New Roman" w:hAnsi="Times New Roman" w:eastAsia="仿宋_GB2312" w:cs="Times New Roman"/>
                <w:sz w:val="21"/>
                <w:szCs w:val="21"/>
                <w:lang w:val="en-US" w:eastAsia="zh-CN"/>
              </w:rPr>
              <w:t>蒙医康复科建设项目</w:t>
            </w:r>
          </w:p>
        </w:tc>
        <w:tc>
          <w:tcPr>
            <w:tcW w:w="975" w:type="dxa"/>
            <w:shd w:val="clear" w:color="auto" w:fill="auto"/>
            <w:noWrap w:val="0"/>
            <w:vAlign w:val="center"/>
          </w:tcPr>
          <w:p w14:paraId="613BDC19">
            <w:pPr>
              <w:keepNext w:val="0"/>
              <w:keepLines w:val="0"/>
              <w:pageBreakBefore w:val="0"/>
              <w:widowControl/>
              <w:suppressLineNumbers w:val="0"/>
              <w:kinsoku/>
              <w:wordWrap/>
              <w:overflowPunct w:val="0"/>
              <w:topLinePunct w:val="0"/>
              <w:autoSpaceDE/>
              <w:autoSpaceDN/>
              <w:bidi w:val="0"/>
              <w:adjustRightInd/>
              <w:snapToGrid/>
              <w:spacing w:before="0" w:beforeAutospacing="0" w:after="0" w:afterAutospacing="0" w:line="320" w:lineRule="exact"/>
              <w:ind w:left="0" w:leftChars="0" w:right="0" w:rightChars="0"/>
              <w:jc w:val="center"/>
              <w:textAlignment w:val="center"/>
              <w:rPr>
                <w:rFonts w:hint="default" w:ascii="Times New Roman" w:hAnsi="Times New Roman" w:eastAsia="仿宋_GB2312" w:cs="Times New Roman"/>
                <w:b w:val="0"/>
                <w:bCs w:val="0"/>
                <w:color w:val="auto"/>
                <w:kern w:val="2"/>
                <w:sz w:val="21"/>
                <w:szCs w:val="21"/>
                <w:highlight w:val="none"/>
                <w:lang w:val="en-US" w:eastAsia="zh-CN" w:bidi="ar-SA"/>
              </w:rPr>
            </w:pPr>
            <w:r>
              <w:rPr>
                <w:rFonts w:hint="default" w:ascii="Times New Roman" w:hAnsi="Times New Roman" w:eastAsia="仿宋_GB2312" w:cs="Times New Roman"/>
                <w:b w:val="0"/>
                <w:bCs w:val="0"/>
                <w:color w:val="auto"/>
                <w:sz w:val="21"/>
                <w:szCs w:val="21"/>
                <w:highlight w:val="none"/>
                <w:lang w:val="en-US" w:eastAsia="zh-CN"/>
              </w:rPr>
              <w:t>乌拉特后旗蒙医医院</w:t>
            </w:r>
          </w:p>
        </w:tc>
        <w:tc>
          <w:tcPr>
            <w:tcW w:w="2681" w:type="dxa"/>
            <w:shd w:val="clear" w:color="auto" w:fill="auto"/>
            <w:noWrap w:val="0"/>
            <w:vAlign w:val="center"/>
          </w:tcPr>
          <w:p w14:paraId="6CB1CB22">
            <w:pPr>
              <w:keepNext w:val="0"/>
              <w:keepLines w:val="0"/>
              <w:pageBreakBefore w:val="0"/>
              <w:widowControl/>
              <w:suppressLineNumbers w:val="0"/>
              <w:kinsoku/>
              <w:wordWrap/>
              <w:overflowPunct w:val="0"/>
              <w:topLinePunct w:val="0"/>
              <w:autoSpaceDE/>
              <w:autoSpaceDN/>
              <w:bidi w:val="0"/>
              <w:adjustRightInd/>
              <w:snapToGrid/>
              <w:spacing w:before="0" w:beforeAutospacing="0" w:after="0" w:afterAutospacing="0" w:line="320" w:lineRule="exact"/>
              <w:ind w:left="0" w:leftChars="0" w:right="0" w:rightChars="0"/>
              <w:jc w:val="both"/>
              <w:textAlignment w:val="center"/>
              <w:rPr>
                <w:rFonts w:hint="default" w:ascii="Times New Roman" w:hAnsi="Times New Roman" w:eastAsia="仿宋_GB2312" w:cs="Times New Roman"/>
                <w:b w:val="0"/>
                <w:bCs w:val="0"/>
                <w:color w:val="auto"/>
                <w:kern w:val="2"/>
                <w:sz w:val="21"/>
                <w:szCs w:val="21"/>
                <w:highlight w:val="none"/>
                <w:lang w:val="en-US" w:eastAsia="zh-CN" w:bidi="ar-SA"/>
              </w:rPr>
            </w:pPr>
            <w:r>
              <w:rPr>
                <w:rFonts w:hint="default" w:ascii="Times New Roman" w:hAnsi="Times New Roman" w:eastAsia="仿宋_GB2312" w:cs="Times New Roman"/>
                <w:b w:val="0"/>
                <w:bCs w:val="0"/>
                <w:color w:val="auto"/>
                <w:sz w:val="21"/>
                <w:szCs w:val="21"/>
                <w:highlight w:val="none"/>
                <w:lang w:val="en-US" w:eastAsia="zh-CN"/>
              </w:rPr>
              <w:t>项目拟人员外出培训，聘请专家讲座等。购置一批当前急需且先进的现代康复治疗设备。全面提升诊疗康复服务能力，着力构建防治康养一体化蒙医特色服务体系。</w:t>
            </w:r>
          </w:p>
        </w:tc>
        <w:tc>
          <w:tcPr>
            <w:tcW w:w="640" w:type="dxa"/>
            <w:shd w:val="clear" w:color="auto" w:fill="auto"/>
            <w:noWrap w:val="0"/>
            <w:vAlign w:val="center"/>
          </w:tcPr>
          <w:p w14:paraId="017FAC5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jc w:val="center"/>
              <w:textAlignment w:val="auto"/>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sz w:val="21"/>
                <w:szCs w:val="21"/>
                <w:shd w:val="clear" w:color="auto" w:fill="auto"/>
                <w:vertAlign w:val="baseline"/>
                <w:lang w:val="en-US" w:eastAsia="zh-CN"/>
              </w:rPr>
              <w:t>91</w:t>
            </w:r>
          </w:p>
        </w:tc>
        <w:tc>
          <w:tcPr>
            <w:tcW w:w="825" w:type="dxa"/>
            <w:shd w:val="clear" w:color="auto" w:fill="auto"/>
            <w:noWrap w:val="0"/>
            <w:vAlign w:val="center"/>
          </w:tcPr>
          <w:p w14:paraId="17D6ACC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jc w:val="center"/>
              <w:textAlignment w:val="auto"/>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sz w:val="21"/>
                <w:szCs w:val="21"/>
                <w:shd w:val="clear" w:color="auto" w:fill="auto"/>
                <w:vertAlign w:val="baseline"/>
                <w:lang w:val="en-US" w:eastAsia="zh-CN"/>
              </w:rPr>
              <w:t>56</w:t>
            </w:r>
          </w:p>
        </w:tc>
        <w:tc>
          <w:tcPr>
            <w:tcW w:w="750" w:type="dxa"/>
            <w:shd w:val="clear" w:color="auto" w:fill="auto"/>
            <w:noWrap w:val="0"/>
            <w:vAlign w:val="center"/>
          </w:tcPr>
          <w:p w14:paraId="66384D0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jc w:val="center"/>
              <w:textAlignment w:val="auto"/>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sz w:val="21"/>
                <w:szCs w:val="21"/>
                <w:shd w:val="clear" w:color="auto" w:fill="auto"/>
                <w:vertAlign w:val="baseline"/>
                <w:lang w:val="en-US" w:eastAsia="zh-CN"/>
              </w:rPr>
              <w:t>0</w:t>
            </w:r>
          </w:p>
        </w:tc>
        <w:tc>
          <w:tcPr>
            <w:tcW w:w="885" w:type="dxa"/>
            <w:shd w:val="clear" w:color="auto" w:fill="auto"/>
            <w:noWrap w:val="0"/>
            <w:vAlign w:val="center"/>
          </w:tcPr>
          <w:p w14:paraId="7BD5271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jc w:val="center"/>
              <w:textAlignment w:val="auto"/>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sz w:val="21"/>
                <w:szCs w:val="21"/>
                <w:shd w:val="clear" w:color="auto" w:fill="auto"/>
                <w:vertAlign w:val="baseline"/>
                <w:lang w:val="en-US" w:eastAsia="zh-CN"/>
              </w:rPr>
              <w:t>29</w:t>
            </w:r>
          </w:p>
        </w:tc>
        <w:tc>
          <w:tcPr>
            <w:tcW w:w="660" w:type="dxa"/>
            <w:shd w:val="clear" w:color="auto" w:fill="auto"/>
            <w:noWrap w:val="0"/>
            <w:vAlign w:val="center"/>
          </w:tcPr>
          <w:p w14:paraId="4E1C6CA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jc w:val="center"/>
              <w:textAlignment w:val="auto"/>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sz w:val="21"/>
                <w:szCs w:val="21"/>
                <w:shd w:val="clear" w:color="auto" w:fill="auto"/>
                <w:vertAlign w:val="baseline"/>
                <w:lang w:val="en-US" w:eastAsia="zh-CN"/>
              </w:rPr>
              <w:t>6</w:t>
            </w:r>
          </w:p>
        </w:tc>
        <w:tc>
          <w:tcPr>
            <w:tcW w:w="3022" w:type="dxa"/>
            <w:shd w:val="clear" w:color="auto" w:fill="auto"/>
            <w:noWrap w:val="0"/>
            <w:vAlign w:val="top"/>
          </w:tcPr>
          <w:p w14:paraId="76864B29">
            <w:pPr>
              <w:keepNext w:val="0"/>
              <w:keepLines w:val="0"/>
              <w:pageBreakBefore w:val="0"/>
              <w:widowControl/>
              <w:numPr>
                <w:ilvl w:val="0"/>
                <w:numId w:val="0"/>
              </w:numPr>
              <w:suppressLineNumbers w:val="0"/>
              <w:kinsoku/>
              <w:wordWrap/>
              <w:topLinePunct w:val="0"/>
              <w:autoSpaceDE/>
              <w:autoSpaceDN/>
              <w:bidi w:val="0"/>
              <w:adjustRightInd/>
              <w:snapToGrid/>
              <w:spacing w:before="0" w:beforeAutospacing="0" w:after="0" w:afterAutospacing="0" w:line="320" w:lineRule="exact"/>
              <w:ind w:right="0" w:rightChars="0"/>
              <w:jc w:val="both"/>
              <w:textAlignment w:val="top"/>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1.设备购置：</w:t>
            </w:r>
            <w:r>
              <w:rPr>
                <w:rFonts w:hint="default" w:ascii="Times New Roman" w:hAnsi="Times New Roman" w:eastAsia="仿宋_GB2312" w:cs="Times New Roman"/>
                <w:i w:val="0"/>
                <w:iCs w:val="0"/>
                <w:color w:val="000000"/>
                <w:kern w:val="0"/>
                <w:sz w:val="21"/>
                <w:szCs w:val="21"/>
                <w:u w:val="none"/>
                <w:lang w:val="en-US" w:eastAsia="zh-CN" w:bidi="ar"/>
              </w:rPr>
              <w:t>购置设备15台，包括中频治疗仪1台、直立床1台、四肢联动康复治疗仪1台、肌电生物反馈1台、红外线理疗灯10台、干扰疼痛治疗仪1台等27.4万元。</w:t>
            </w:r>
          </w:p>
          <w:p w14:paraId="39E0CF07">
            <w:pPr>
              <w:keepNext w:val="0"/>
              <w:keepLines w:val="0"/>
              <w:pageBreakBefore w:val="0"/>
              <w:widowControl/>
              <w:numPr>
                <w:ilvl w:val="0"/>
                <w:numId w:val="0"/>
              </w:numPr>
              <w:suppressLineNumbers w:val="0"/>
              <w:kinsoku/>
              <w:wordWrap/>
              <w:topLinePunct w:val="0"/>
              <w:autoSpaceDE/>
              <w:autoSpaceDN/>
              <w:bidi w:val="0"/>
              <w:adjustRightInd/>
              <w:snapToGrid/>
              <w:spacing w:before="0" w:beforeAutospacing="0" w:after="0" w:afterAutospacing="0" w:line="320" w:lineRule="exact"/>
              <w:ind w:right="0" w:rightChars="0"/>
              <w:jc w:val="both"/>
              <w:textAlignment w:val="top"/>
              <w:rPr>
                <w:rFonts w:hint="default" w:ascii="Times New Roman" w:hAnsi="Times New Roman" w:eastAsia="仿宋_GB2312" w:cs="Times New Roman"/>
                <w:b w:val="0"/>
                <w:bCs w:val="0"/>
                <w:color w:val="auto"/>
                <w:sz w:val="21"/>
                <w:szCs w:val="21"/>
                <w:highlight w:val="none"/>
                <w:lang w:val="en-US" w:eastAsia="zh-CN"/>
              </w:rPr>
            </w:pPr>
            <w:r>
              <w:rPr>
                <w:rFonts w:hint="default" w:ascii="Times New Roman" w:hAnsi="Times New Roman" w:eastAsia="仿宋_GB2312" w:cs="Times New Roman"/>
                <w:b/>
                <w:bCs/>
                <w:i w:val="0"/>
                <w:iCs w:val="0"/>
                <w:color w:val="000000"/>
                <w:kern w:val="0"/>
                <w:sz w:val="21"/>
                <w:szCs w:val="21"/>
                <w:u w:val="none"/>
                <w:lang w:val="en-US" w:eastAsia="zh-CN" w:bidi="ar"/>
              </w:rPr>
              <w:t>2.人才培养：</w:t>
            </w:r>
            <w:r>
              <w:rPr>
                <w:rFonts w:hint="default" w:ascii="Times New Roman" w:hAnsi="Times New Roman" w:eastAsia="仿宋_GB2312" w:cs="Times New Roman"/>
                <w:i w:val="0"/>
                <w:iCs w:val="0"/>
                <w:color w:val="000000"/>
                <w:kern w:val="0"/>
                <w:sz w:val="21"/>
                <w:szCs w:val="21"/>
                <w:u w:val="none"/>
                <w:lang w:val="en-US" w:eastAsia="zh-CN" w:bidi="ar"/>
              </w:rPr>
              <w:t xml:space="preserve">选派1名康复科业务骨干外出进修3万元；组织1次区内外学术交流与专项培训3.8万元，安排康复科5名核心技术人员参训。     </w:t>
            </w:r>
          </w:p>
          <w:p w14:paraId="609684BE">
            <w:pPr>
              <w:keepNext w:val="0"/>
              <w:keepLines w:val="0"/>
              <w:pageBreakBefore w:val="0"/>
              <w:widowControl/>
              <w:suppressLineNumbers w:val="0"/>
              <w:kinsoku/>
              <w:wordWrap/>
              <w:topLinePunct w:val="0"/>
              <w:autoSpaceDE/>
              <w:autoSpaceDN/>
              <w:bidi w:val="0"/>
              <w:adjustRightInd/>
              <w:snapToGrid/>
              <w:spacing w:before="0" w:beforeAutospacing="0" w:after="0" w:afterAutospacing="0" w:line="320" w:lineRule="exact"/>
              <w:ind w:left="0" w:right="0"/>
              <w:jc w:val="both"/>
              <w:textAlignment w:val="top"/>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3.专家团队帮扶</w:t>
            </w:r>
            <w:r>
              <w:rPr>
                <w:rFonts w:hint="default" w:ascii="Times New Roman" w:hAnsi="Times New Roman" w:eastAsia="仿宋_GB2312" w:cs="Times New Roman"/>
                <w:i w:val="0"/>
                <w:iCs w:val="0"/>
                <w:color w:val="000000"/>
                <w:kern w:val="0"/>
                <w:sz w:val="21"/>
                <w:szCs w:val="21"/>
                <w:u w:val="none"/>
                <w:lang w:val="en-US" w:eastAsia="zh-CN" w:bidi="ar"/>
              </w:rPr>
              <w:t>：先后邀请6名区级康复科专家来院指导3万元；邀请1支康复专家团队驻点医院1年24万元。</w:t>
            </w:r>
          </w:p>
          <w:p w14:paraId="03BC2DCE">
            <w:pPr>
              <w:keepNext w:val="0"/>
              <w:keepLines w:val="0"/>
              <w:pageBreakBefore w:val="0"/>
              <w:widowControl/>
              <w:suppressLineNumbers w:val="0"/>
              <w:kinsoku/>
              <w:wordWrap/>
              <w:topLinePunct w:val="0"/>
              <w:autoSpaceDE/>
              <w:autoSpaceDN/>
              <w:bidi w:val="0"/>
              <w:adjustRightInd/>
              <w:snapToGrid/>
              <w:spacing w:before="0" w:beforeAutospacing="0" w:after="0" w:afterAutospacing="0" w:line="320" w:lineRule="exact"/>
              <w:ind w:left="0" w:right="0"/>
              <w:jc w:val="both"/>
              <w:textAlignment w:val="top"/>
              <w:rPr>
                <w:rFonts w:hint="default" w:ascii="Times New Roman" w:hAnsi="Times New Roman" w:eastAsia="仿宋_GB2312" w:cs="Times New Roman"/>
                <w:i w:val="0"/>
                <w:iCs w:val="0"/>
                <w:color w:val="000000"/>
                <w:kern w:val="0"/>
                <w:sz w:val="21"/>
                <w:szCs w:val="21"/>
                <w:highlight w:val="none"/>
                <w:u w:val="none"/>
                <w:lang w:val="en-US" w:eastAsia="zh-CN" w:bidi="ar"/>
              </w:rPr>
            </w:pPr>
            <w:r>
              <w:rPr>
                <w:rStyle w:val="12"/>
                <w:rFonts w:hint="default" w:ascii="Times New Roman" w:hAnsi="Times New Roman" w:cs="Times New Roman"/>
                <w:b/>
                <w:bCs/>
                <w:sz w:val="21"/>
                <w:szCs w:val="21"/>
                <w:lang w:val="en-US" w:eastAsia="zh-CN" w:bidi="ar"/>
              </w:rPr>
              <w:t>年度投资计划：61.2万元</w:t>
            </w:r>
          </w:p>
        </w:tc>
        <w:tc>
          <w:tcPr>
            <w:tcW w:w="2644" w:type="dxa"/>
            <w:shd w:val="clear" w:color="auto" w:fill="auto"/>
            <w:noWrap w:val="0"/>
            <w:vAlign w:val="top"/>
          </w:tcPr>
          <w:p w14:paraId="13C79DD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both"/>
              <w:textAlignment w:val="top"/>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1.设备购置：</w:t>
            </w:r>
            <w:r>
              <w:rPr>
                <w:rFonts w:hint="default" w:ascii="Times New Roman" w:hAnsi="Times New Roman" w:eastAsia="仿宋_GB2312" w:cs="Times New Roman"/>
                <w:i w:val="0"/>
                <w:iCs w:val="0"/>
                <w:color w:val="000000"/>
                <w:kern w:val="0"/>
                <w:sz w:val="21"/>
                <w:szCs w:val="21"/>
                <w:u w:val="none"/>
                <w:lang w:val="en-US" w:eastAsia="zh-CN" w:bidi="ar"/>
              </w:rPr>
              <w:t>购置设备15台，包括红外线理疗灯10台、超声波治疗仪1台、极超短波治疗仪1台、吞咽治疗仪1台、空气波压力治疗仪1台、多关节主被动训练1台等11万元。</w:t>
            </w:r>
          </w:p>
          <w:p w14:paraId="14C3279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both"/>
              <w:textAlignment w:val="top"/>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2.人才培养：</w:t>
            </w:r>
            <w:r>
              <w:rPr>
                <w:rFonts w:hint="default" w:ascii="Times New Roman" w:hAnsi="Times New Roman" w:eastAsia="仿宋_GB2312" w:cs="Times New Roman"/>
                <w:i w:val="0"/>
                <w:iCs w:val="0"/>
                <w:color w:val="000000"/>
                <w:kern w:val="0"/>
                <w:sz w:val="21"/>
                <w:szCs w:val="21"/>
                <w:u w:val="none"/>
                <w:lang w:val="en-US" w:eastAsia="zh-CN" w:bidi="ar"/>
              </w:rPr>
              <w:t>选派1名康复科骨干外出进修3万元；组织1次区内外学术交流与专项培训，安排康复科5名核心技术人员参训3.8万元。</w:t>
            </w:r>
          </w:p>
          <w:p w14:paraId="3736B4E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both"/>
              <w:textAlignment w:val="top"/>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3.专家团队帮扶：</w:t>
            </w:r>
            <w:r>
              <w:rPr>
                <w:rFonts w:hint="default" w:ascii="Times New Roman" w:hAnsi="Times New Roman" w:eastAsia="仿宋_GB2312" w:cs="Times New Roman"/>
                <w:i w:val="0"/>
                <w:iCs w:val="0"/>
                <w:color w:val="000000"/>
                <w:kern w:val="0"/>
                <w:sz w:val="21"/>
                <w:szCs w:val="21"/>
                <w:u w:val="none"/>
                <w:lang w:val="en-US" w:eastAsia="zh-CN" w:bidi="ar"/>
              </w:rPr>
              <w:t>先后邀请12人次国家、自治区级康复科专家来院指导，并邀请1支康复专业团队驻院帮扶12万元。</w:t>
            </w:r>
          </w:p>
          <w:p w14:paraId="058AEB9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both"/>
              <w:textAlignment w:val="top"/>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年度投资计划：29.8万元</w:t>
            </w:r>
          </w:p>
        </w:tc>
      </w:tr>
      <w:tr w14:paraId="4D82F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0" w:hRule="atLeast"/>
          <w:jc w:val="center"/>
        </w:trPr>
        <w:tc>
          <w:tcPr>
            <w:tcW w:w="523" w:type="dxa"/>
            <w:shd w:val="clear" w:color="auto" w:fill="auto"/>
            <w:noWrap w:val="0"/>
            <w:vAlign w:val="center"/>
          </w:tcPr>
          <w:p w14:paraId="10A1EF4E">
            <w:pPr>
              <w:keepNext w:val="0"/>
              <w:keepLines w:val="0"/>
              <w:pageBreakBefore w:val="0"/>
              <w:suppressLineNumbers w:val="0"/>
              <w:kinsoku/>
              <w:wordWrap/>
              <w:overflowPunct w:val="0"/>
              <w:topLinePunct w:val="0"/>
              <w:autoSpaceDE/>
              <w:autoSpaceDN/>
              <w:bidi w:val="0"/>
              <w:adjustRightInd/>
              <w:spacing w:before="0" w:beforeAutospacing="0" w:after="0" w:afterAutospacing="0" w:line="300" w:lineRule="exact"/>
              <w:ind w:left="0" w:leftChars="0" w:right="0" w:rightChars="0"/>
              <w:jc w:val="center"/>
              <w:rPr>
                <w:rFonts w:hint="default" w:ascii="Times New Roman" w:hAnsi="Times New Roman" w:eastAsia="仿宋_GB2312" w:cs="Times New Roman"/>
                <w:b/>
                <w:bCs/>
                <w:color w:val="auto"/>
                <w:kern w:val="2"/>
                <w:sz w:val="18"/>
                <w:szCs w:val="18"/>
                <w:highlight w:val="none"/>
                <w:lang w:val="en-US" w:eastAsia="zh-CN" w:bidi="ar-SA"/>
              </w:rPr>
            </w:pPr>
            <w:r>
              <w:rPr>
                <w:rFonts w:hint="default" w:ascii="Times New Roman" w:hAnsi="Times New Roman" w:eastAsia="仿宋_GB2312" w:cs="Times New Roman"/>
                <w:b/>
                <w:bCs/>
                <w:color w:val="auto"/>
                <w:sz w:val="18"/>
                <w:szCs w:val="18"/>
                <w:highlight w:val="none"/>
                <w:lang w:val="en-US" w:eastAsia="zh-CN"/>
              </w:rPr>
              <w:t>合计</w:t>
            </w:r>
          </w:p>
        </w:tc>
        <w:tc>
          <w:tcPr>
            <w:tcW w:w="782" w:type="dxa"/>
            <w:shd w:val="clear" w:color="auto" w:fill="auto"/>
            <w:noWrap w:val="0"/>
            <w:vAlign w:val="center"/>
          </w:tcPr>
          <w:p w14:paraId="105DF34A">
            <w:pPr>
              <w:keepNext w:val="0"/>
              <w:keepLines w:val="0"/>
              <w:pageBreakBefore w:val="0"/>
              <w:widowControl/>
              <w:suppressLineNumbers w:val="0"/>
              <w:kinsoku/>
              <w:wordWrap/>
              <w:overflowPunct w:val="0"/>
              <w:topLinePunct w:val="0"/>
              <w:autoSpaceDE/>
              <w:autoSpaceDN/>
              <w:bidi w:val="0"/>
              <w:adjustRightInd/>
              <w:snapToGrid/>
              <w:spacing w:before="0" w:beforeAutospacing="0" w:after="0" w:afterAutospacing="0" w:line="300" w:lineRule="exact"/>
              <w:ind w:left="0" w:leftChars="0" w:right="0" w:rightChars="0"/>
              <w:jc w:val="both"/>
              <w:textAlignment w:val="center"/>
              <w:rPr>
                <w:rFonts w:hint="default" w:ascii="Times New Roman" w:hAnsi="Times New Roman" w:eastAsia="仿宋_GB2312" w:cs="Times New Roman"/>
                <w:b w:val="0"/>
                <w:bCs w:val="0"/>
                <w:color w:val="auto"/>
                <w:kern w:val="2"/>
                <w:sz w:val="18"/>
                <w:szCs w:val="18"/>
                <w:highlight w:val="none"/>
                <w:lang w:val="en-US" w:eastAsia="zh-CN" w:bidi="ar-SA"/>
              </w:rPr>
            </w:pPr>
          </w:p>
        </w:tc>
        <w:tc>
          <w:tcPr>
            <w:tcW w:w="881" w:type="dxa"/>
            <w:shd w:val="clear" w:color="auto" w:fill="auto"/>
            <w:noWrap w:val="0"/>
            <w:vAlign w:val="center"/>
          </w:tcPr>
          <w:p w14:paraId="7DE3D78A">
            <w:pPr>
              <w:keepNext w:val="0"/>
              <w:keepLines w:val="0"/>
              <w:pageBreakBefore w:val="0"/>
              <w:widowControl/>
              <w:suppressLineNumbers w:val="0"/>
              <w:kinsoku/>
              <w:wordWrap/>
              <w:overflowPunct w:val="0"/>
              <w:topLinePunct w:val="0"/>
              <w:autoSpaceDE/>
              <w:autoSpaceDN/>
              <w:bidi w:val="0"/>
              <w:adjustRightInd/>
              <w:snapToGrid/>
              <w:spacing w:before="0" w:beforeAutospacing="0" w:after="0" w:afterAutospacing="0" w:line="300" w:lineRule="exact"/>
              <w:ind w:left="0" w:leftChars="0" w:right="0" w:rightChars="0"/>
              <w:jc w:val="both"/>
              <w:textAlignment w:val="center"/>
              <w:rPr>
                <w:rFonts w:hint="default" w:ascii="Times New Roman" w:hAnsi="Times New Roman" w:eastAsia="仿宋_GB2312" w:cs="Times New Roman"/>
                <w:b w:val="0"/>
                <w:bCs w:val="0"/>
                <w:color w:val="auto"/>
                <w:kern w:val="2"/>
                <w:sz w:val="18"/>
                <w:szCs w:val="18"/>
                <w:highlight w:val="none"/>
                <w:lang w:val="en-US" w:eastAsia="zh-CN" w:bidi="ar-SA"/>
              </w:rPr>
            </w:pPr>
          </w:p>
        </w:tc>
        <w:tc>
          <w:tcPr>
            <w:tcW w:w="975" w:type="dxa"/>
            <w:shd w:val="clear" w:color="auto" w:fill="auto"/>
            <w:noWrap w:val="0"/>
            <w:vAlign w:val="center"/>
          </w:tcPr>
          <w:p w14:paraId="6D4C428A">
            <w:pPr>
              <w:keepNext w:val="0"/>
              <w:keepLines w:val="0"/>
              <w:pageBreakBefore w:val="0"/>
              <w:widowControl/>
              <w:suppressLineNumbers w:val="0"/>
              <w:kinsoku/>
              <w:wordWrap/>
              <w:overflowPunct w:val="0"/>
              <w:topLinePunct w:val="0"/>
              <w:autoSpaceDE/>
              <w:autoSpaceDN/>
              <w:bidi w:val="0"/>
              <w:adjustRightInd/>
              <w:snapToGrid/>
              <w:spacing w:before="0" w:beforeAutospacing="0" w:after="0" w:afterAutospacing="0" w:line="300" w:lineRule="exact"/>
              <w:ind w:left="0" w:leftChars="0" w:right="0" w:rightChars="0"/>
              <w:jc w:val="both"/>
              <w:textAlignment w:val="center"/>
              <w:rPr>
                <w:rFonts w:hint="default" w:ascii="Times New Roman" w:hAnsi="Times New Roman" w:eastAsia="仿宋_GB2312" w:cs="Times New Roman"/>
                <w:b w:val="0"/>
                <w:bCs w:val="0"/>
                <w:color w:val="auto"/>
                <w:kern w:val="2"/>
                <w:sz w:val="18"/>
                <w:szCs w:val="18"/>
                <w:highlight w:val="none"/>
                <w:lang w:val="en-US" w:eastAsia="zh-CN" w:bidi="ar-SA"/>
              </w:rPr>
            </w:pPr>
          </w:p>
        </w:tc>
        <w:tc>
          <w:tcPr>
            <w:tcW w:w="2681" w:type="dxa"/>
            <w:shd w:val="clear" w:color="auto" w:fill="auto"/>
            <w:noWrap w:val="0"/>
            <w:vAlign w:val="center"/>
          </w:tcPr>
          <w:p w14:paraId="25FDAB4B">
            <w:pPr>
              <w:keepNext w:val="0"/>
              <w:keepLines w:val="0"/>
              <w:pageBreakBefore w:val="0"/>
              <w:widowControl/>
              <w:suppressLineNumbers w:val="0"/>
              <w:kinsoku/>
              <w:wordWrap/>
              <w:overflowPunct w:val="0"/>
              <w:topLinePunct w:val="0"/>
              <w:autoSpaceDE/>
              <w:autoSpaceDN/>
              <w:bidi w:val="0"/>
              <w:adjustRightInd/>
              <w:snapToGrid/>
              <w:spacing w:before="0" w:beforeAutospacing="0" w:after="0" w:afterAutospacing="0" w:line="300" w:lineRule="exact"/>
              <w:ind w:left="0" w:leftChars="0" w:right="0" w:rightChars="0"/>
              <w:jc w:val="both"/>
              <w:textAlignment w:val="center"/>
              <w:rPr>
                <w:rFonts w:hint="default" w:ascii="Times New Roman" w:hAnsi="Times New Roman" w:eastAsia="仿宋_GB2312" w:cs="Times New Roman"/>
                <w:b w:val="0"/>
                <w:bCs w:val="0"/>
                <w:color w:val="auto"/>
                <w:kern w:val="2"/>
                <w:sz w:val="18"/>
                <w:szCs w:val="18"/>
                <w:highlight w:val="none"/>
                <w:lang w:val="en-US" w:eastAsia="zh-CN" w:bidi="ar-SA"/>
              </w:rPr>
            </w:pPr>
          </w:p>
        </w:tc>
        <w:tc>
          <w:tcPr>
            <w:tcW w:w="640" w:type="dxa"/>
            <w:shd w:val="clear" w:color="auto" w:fill="auto"/>
            <w:noWrap w:val="0"/>
            <w:vAlign w:val="center"/>
          </w:tcPr>
          <w:p w14:paraId="414EE2C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920</w:t>
            </w:r>
          </w:p>
        </w:tc>
        <w:tc>
          <w:tcPr>
            <w:tcW w:w="825" w:type="dxa"/>
            <w:shd w:val="clear" w:color="auto" w:fill="auto"/>
            <w:noWrap w:val="0"/>
            <w:vAlign w:val="center"/>
          </w:tcPr>
          <w:p w14:paraId="189D302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566</w:t>
            </w:r>
          </w:p>
        </w:tc>
        <w:tc>
          <w:tcPr>
            <w:tcW w:w="750" w:type="dxa"/>
            <w:shd w:val="clear" w:color="auto" w:fill="auto"/>
            <w:noWrap w:val="0"/>
            <w:vAlign w:val="center"/>
          </w:tcPr>
          <w:p w14:paraId="1030045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0</w:t>
            </w:r>
          </w:p>
        </w:tc>
        <w:tc>
          <w:tcPr>
            <w:tcW w:w="885" w:type="dxa"/>
            <w:shd w:val="clear" w:color="auto" w:fill="auto"/>
            <w:noWrap w:val="0"/>
            <w:vAlign w:val="center"/>
          </w:tcPr>
          <w:p w14:paraId="56AAEF8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302</w:t>
            </w:r>
          </w:p>
        </w:tc>
        <w:tc>
          <w:tcPr>
            <w:tcW w:w="660" w:type="dxa"/>
            <w:shd w:val="clear" w:color="auto" w:fill="auto"/>
            <w:noWrap w:val="0"/>
            <w:vAlign w:val="center"/>
          </w:tcPr>
          <w:p w14:paraId="46754CC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52</w:t>
            </w:r>
          </w:p>
        </w:tc>
        <w:tc>
          <w:tcPr>
            <w:tcW w:w="3022" w:type="dxa"/>
            <w:shd w:val="clear" w:color="auto" w:fill="auto"/>
            <w:noWrap w:val="0"/>
            <w:vAlign w:val="center"/>
          </w:tcPr>
          <w:p w14:paraId="793242D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p>
        </w:tc>
        <w:tc>
          <w:tcPr>
            <w:tcW w:w="2644" w:type="dxa"/>
            <w:shd w:val="clear" w:color="auto" w:fill="auto"/>
            <w:noWrap w:val="0"/>
            <w:vAlign w:val="center"/>
          </w:tcPr>
          <w:p w14:paraId="4CD597F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p>
        </w:tc>
      </w:tr>
    </w:tbl>
    <w:p w14:paraId="6254FEE2">
      <w:pPr>
        <w:pageBreakBefore w:val="0"/>
        <w:kinsoku/>
        <w:wordWrap/>
        <w:overflowPunct w:val="0"/>
        <w:topLinePunct w:val="0"/>
        <w:autoSpaceDE/>
        <w:autoSpaceDN/>
        <w:bidi w:val="0"/>
        <w:spacing w:line="560" w:lineRule="exact"/>
        <w:jc w:val="center"/>
        <w:rPr>
          <w:rFonts w:hint="default" w:ascii="Times New Roman" w:hAnsi="Times New Roman" w:eastAsia="微软雅黑" w:cs="Times New Roman"/>
          <w:color w:val="auto"/>
          <w:sz w:val="18"/>
          <w:szCs w:val="18"/>
          <w:highlight w:val="none"/>
        </w:rPr>
      </w:pPr>
    </w:p>
    <w:bookmarkEnd w:id="0"/>
    <w:p w14:paraId="781EB9EE">
      <w:pPr>
        <w:pageBreakBefore w:val="0"/>
        <w:kinsoku/>
        <w:wordWrap/>
        <w:overflowPunct w:val="0"/>
        <w:topLinePunct w:val="0"/>
        <w:autoSpaceDE/>
        <w:autoSpaceDN/>
        <w:bidi w:val="0"/>
        <w:spacing w:line="560" w:lineRule="exact"/>
        <w:jc w:val="left"/>
        <w:rPr>
          <w:rFonts w:hint="default" w:ascii="Times New Roman" w:hAnsi="Times New Roman" w:cs="Times New Roman" w:eastAsiaTheme="majorEastAsia"/>
          <w:b/>
          <w:bCs/>
          <w:color w:val="auto"/>
          <w:sz w:val="32"/>
          <w:szCs w:val="32"/>
          <w:highlight w:val="none"/>
          <w:u w:val="none"/>
          <w:lang w:eastAsia="zh-CN"/>
        </w:rPr>
        <w:sectPr>
          <w:footerReference r:id="rId4" w:type="default"/>
          <w:pgSz w:w="16838" w:h="11906" w:orient="landscape"/>
          <w:pgMar w:top="1587" w:right="1440" w:bottom="1474" w:left="1440" w:header="851" w:footer="992" w:gutter="0"/>
          <w:pgNumType w:fmt="numberInDash"/>
          <w:cols w:space="0" w:num="1"/>
          <w:rtlGutter w:val="0"/>
          <w:docGrid w:type="lines" w:linePitch="319" w:charSpace="0"/>
        </w:sectPr>
      </w:pPr>
    </w:p>
    <w:p w14:paraId="36845554">
      <w:pPr>
        <w:pageBreakBefore w:val="0"/>
        <w:kinsoku/>
        <w:wordWrap/>
        <w:overflowPunct w:val="0"/>
        <w:topLinePunct w:val="0"/>
        <w:autoSpaceDE/>
        <w:autoSpaceDN/>
        <w:bidi w:val="0"/>
        <w:spacing w:line="560" w:lineRule="exact"/>
        <w:jc w:val="left"/>
        <w:rPr>
          <w:rFonts w:hint="default" w:ascii="Times New Roman" w:hAnsi="Times New Roman" w:eastAsia="黑体" w:cs="Times New Roman"/>
          <w:b w:val="0"/>
          <w:bCs w:val="0"/>
          <w:color w:val="auto"/>
          <w:sz w:val="32"/>
          <w:szCs w:val="32"/>
          <w:highlight w:val="none"/>
          <w:lang w:val="en-US" w:eastAsia="zh-CN"/>
        </w:rPr>
      </w:pPr>
      <w:r>
        <w:rPr>
          <w:rFonts w:hint="default" w:ascii="Times New Roman" w:hAnsi="Times New Roman" w:eastAsia="黑体" w:cs="Times New Roman"/>
          <w:b w:val="0"/>
          <w:bCs w:val="0"/>
          <w:color w:val="auto"/>
          <w:sz w:val="32"/>
          <w:szCs w:val="32"/>
          <w:highlight w:val="none"/>
          <w:lang w:eastAsia="zh-CN"/>
        </w:rPr>
        <w:t>附</w:t>
      </w:r>
      <w:r>
        <w:rPr>
          <w:rFonts w:hint="default" w:ascii="Times New Roman" w:hAnsi="Times New Roman" w:eastAsia="黑体" w:cs="Times New Roman"/>
          <w:b w:val="0"/>
          <w:bCs w:val="0"/>
          <w:color w:val="auto"/>
          <w:sz w:val="32"/>
          <w:szCs w:val="32"/>
          <w:highlight w:val="none"/>
          <w:lang w:val="en-US" w:eastAsia="zh-CN"/>
        </w:rPr>
        <w:t>表2</w:t>
      </w:r>
    </w:p>
    <w:p w14:paraId="009FD1D1">
      <w:pPr>
        <w:pStyle w:val="11"/>
        <w:pageBreakBefore w:val="0"/>
        <w:kinsoku/>
        <w:wordWrap/>
        <w:overflowPunct w:val="0"/>
        <w:topLinePunct w:val="0"/>
        <w:autoSpaceDE/>
        <w:autoSpaceDN/>
        <w:bidi w:val="0"/>
        <w:spacing w:line="560" w:lineRule="exact"/>
        <w:ind w:firstLine="0" w:firstLineChars="0"/>
        <w:jc w:val="center"/>
        <w:rPr>
          <w:rFonts w:hint="eastAsia" w:ascii="方正小标宋简体" w:hAnsi="方正小标宋简体" w:eastAsia="方正小标宋简体" w:cs="方正小标宋简体"/>
          <w:b w:val="0"/>
          <w:bCs w:val="0"/>
          <w:color w:val="auto"/>
          <w:sz w:val="44"/>
          <w:szCs w:val="44"/>
          <w:highlight w:val="none"/>
          <w:u w:val="none"/>
        </w:rPr>
      </w:pPr>
      <w:r>
        <w:rPr>
          <w:rFonts w:hint="eastAsia" w:ascii="方正小标宋简体" w:hAnsi="方正小标宋简体" w:eastAsia="方正小标宋简体" w:cs="方正小标宋简体"/>
          <w:b w:val="0"/>
          <w:bCs w:val="0"/>
          <w:color w:val="auto"/>
          <w:sz w:val="44"/>
          <w:szCs w:val="44"/>
          <w:highlight w:val="none"/>
          <w:u w:val="none"/>
        </w:rPr>
        <w:t>中央财政支持公立医院改革与高质量发展</w:t>
      </w:r>
    </w:p>
    <w:p w14:paraId="2C1B1345">
      <w:pPr>
        <w:pStyle w:val="11"/>
        <w:pageBreakBefore w:val="0"/>
        <w:kinsoku/>
        <w:wordWrap/>
        <w:overflowPunct w:val="0"/>
        <w:topLinePunct w:val="0"/>
        <w:autoSpaceDE/>
        <w:autoSpaceDN/>
        <w:bidi w:val="0"/>
        <w:spacing w:line="560" w:lineRule="exact"/>
        <w:ind w:firstLine="0" w:firstLineChars="0"/>
        <w:jc w:val="center"/>
        <w:rPr>
          <w:rFonts w:hint="default" w:ascii="Times New Roman" w:hAnsi="Times New Roman" w:eastAsia="方正小标宋_GBK" w:cs="Times New Roman"/>
          <w:b w:val="0"/>
          <w:bCs w:val="0"/>
          <w:color w:val="auto"/>
          <w:sz w:val="44"/>
          <w:szCs w:val="44"/>
          <w:highlight w:val="none"/>
          <w:u w:val="none"/>
        </w:rPr>
      </w:pPr>
      <w:r>
        <w:rPr>
          <w:rFonts w:hint="eastAsia" w:ascii="方正小标宋简体" w:hAnsi="方正小标宋简体" w:eastAsia="方正小标宋简体" w:cs="方正小标宋简体"/>
          <w:b w:val="0"/>
          <w:bCs w:val="0"/>
          <w:color w:val="auto"/>
          <w:sz w:val="44"/>
          <w:szCs w:val="44"/>
          <w:highlight w:val="none"/>
          <w:u w:val="none"/>
          <w:lang w:val="en-US" w:eastAsia="zh-CN"/>
        </w:rPr>
        <w:t>提升</w:t>
      </w:r>
      <w:r>
        <w:rPr>
          <w:rFonts w:hint="eastAsia" w:ascii="方正小标宋简体" w:hAnsi="方正小标宋简体" w:eastAsia="方正小标宋简体" w:cs="方正小标宋简体"/>
          <w:b w:val="0"/>
          <w:bCs w:val="0"/>
          <w:color w:val="auto"/>
          <w:sz w:val="44"/>
          <w:szCs w:val="44"/>
          <w:highlight w:val="none"/>
          <w:u w:val="none"/>
        </w:rPr>
        <w:t>项目绩效目标表</w:t>
      </w:r>
    </w:p>
    <w:p w14:paraId="64447DB3">
      <w:pPr>
        <w:pStyle w:val="11"/>
        <w:keepNext w:val="0"/>
        <w:keepLines w:val="0"/>
        <w:pageBreakBefore w:val="0"/>
        <w:widowControl w:val="0"/>
        <w:kinsoku/>
        <w:wordWrap/>
        <w:overflowPunct w:val="0"/>
        <w:topLinePunct w:val="0"/>
        <w:autoSpaceDE/>
        <w:autoSpaceDN/>
        <w:bidi w:val="0"/>
        <w:adjustRightInd/>
        <w:snapToGrid/>
        <w:spacing w:line="560" w:lineRule="exact"/>
        <w:ind w:firstLine="0" w:firstLineChars="0"/>
        <w:jc w:val="left"/>
        <w:textAlignment w:val="auto"/>
        <w:rPr>
          <w:rFonts w:hint="default" w:ascii="Times New Roman" w:hAnsi="Times New Roman" w:eastAsia="仿宋_GB2312" w:cs="Times New Roman"/>
          <w:color w:val="auto"/>
          <w:kern w:val="0"/>
          <w:sz w:val="10"/>
          <w:szCs w:val="10"/>
          <w:highlight w:val="none"/>
          <w:u w:val="none"/>
          <w:shd w:val="clear" w:color="auto" w:fill="FFFFFF"/>
          <w:lang w:val="en-US" w:eastAsia="zh-CN"/>
        </w:rPr>
      </w:pPr>
      <w:r>
        <w:rPr>
          <w:rFonts w:hint="default" w:ascii="Times New Roman" w:hAnsi="Times New Roman" w:eastAsia="仿宋_GB2312" w:cs="Times New Roman"/>
          <w:color w:val="auto"/>
          <w:kern w:val="0"/>
          <w:sz w:val="24"/>
          <w:szCs w:val="24"/>
          <w:highlight w:val="none"/>
          <w:u w:val="none"/>
          <w:shd w:val="clear" w:color="auto" w:fill="FFFFFF"/>
          <w:lang w:val="en-US" w:eastAsia="zh-CN"/>
        </w:rPr>
        <w:t>地区</w:t>
      </w:r>
      <w:r>
        <w:rPr>
          <w:rFonts w:hint="default" w:ascii="Times New Roman" w:hAnsi="Times New Roman" w:eastAsia="仿宋_GB2312" w:cs="Times New Roman"/>
          <w:color w:val="auto"/>
          <w:kern w:val="0"/>
          <w:sz w:val="24"/>
          <w:szCs w:val="24"/>
          <w:highlight w:val="none"/>
          <w:u w:val="none"/>
          <w:shd w:val="clear" w:color="auto" w:fill="FFFFFF"/>
        </w:rPr>
        <w:t>：内蒙古自治区巴彦淖尔市</w:t>
      </w:r>
      <w:r>
        <w:rPr>
          <w:rFonts w:hint="default" w:ascii="Times New Roman" w:hAnsi="Times New Roman" w:eastAsia="仿宋_GB2312" w:cs="Times New Roman"/>
          <w:color w:val="auto"/>
          <w:kern w:val="0"/>
          <w:sz w:val="24"/>
          <w:szCs w:val="24"/>
          <w:highlight w:val="none"/>
          <w:u w:val="none"/>
          <w:shd w:val="clear" w:color="auto" w:fill="FFFFFF"/>
          <w:lang w:val="en-US" w:eastAsia="zh-CN"/>
        </w:rPr>
        <w:t>乌拉特后旗</w:t>
      </w:r>
    </w:p>
    <w:tbl>
      <w:tblPr>
        <w:tblStyle w:val="7"/>
        <w:tblW w:w="984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80"/>
        <w:gridCol w:w="1080"/>
        <w:gridCol w:w="328"/>
        <w:gridCol w:w="850"/>
        <w:gridCol w:w="1169"/>
        <w:gridCol w:w="2200"/>
        <w:gridCol w:w="1601"/>
        <w:gridCol w:w="1537"/>
      </w:tblGrid>
      <w:tr w14:paraId="18DFB7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2488" w:type="dxa"/>
            <w:gridSpan w:val="3"/>
            <w:tcBorders>
              <w:top w:val="single" w:color="auto" w:sz="4" w:space="0"/>
              <w:left w:val="single" w:color="auto" w:sz="4" w:space="0"/>
              <w:bottom w:val="single" w:color="auto" w:sz="4" w:space="0"/>
              <w:right w:val="single" w:color="auto" w:sz="4" w:space="0"/>
            </w:tcBorders>
            <w:noWrap w:val="0"/>
            <w:vAlign w:val="center"/>
          </w:tcPr>
          <w:p w14:paraId="0512C99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rPr>
            </w:pPr>
            <w:bookmarkStart w:id="1" w:name="br1"/>
            <w:bookmarkEnd w:id="1"/>
            <w:r>
              <w:rPr>
                <w:rFonts w:hint="default" w:ascii="Times New Roman" w:hAnsi="Times New Roman" w:eastAsia="仿宋_GB2312" w:cs="Times New Roman"/>
                <w:i w:val="0"/>
                <w:iCs w:val="0"/>
                <w:color w:val="000000"/>
                <w:kern w:val="0"/>
                <w:sz w:val="21"/>
                <w:szCs w:val="21"/>
                <w:highlight w:val="none"/>
                <w:u w:val="none"/>
                <w:lang w:val="en-US" w:eastAsia="zh-CN" w:bidi="ar"/>
              </w:rPr>
              <w:t>项目名称</w:t>
            </w:r>
          </w:p>
        </w:tc>
        <w:tc>
          <w:tcPr>
            <w:tcW w:w="7357" w:type="dxa"/>
            <w:gridSpan w:val="5"/>
            <w:tcBorders>
              <w:top w:val="single" w:color="auto" w:sz="4" w:space="0"/>
              <w:left w:val="single" w:color="auto" w:sz="4" w:space="0"/>
              <w:bottom w:val="single" w:color="auto" w:sz="4" w:space="0"/>
              <w:right w:val="single" w:color="auto" w:sz="4" w:space="0"/>
            </w:tcBorders>
            <w:noWrap w:val="0"/>
            <w:vAlign w:val="center"/>
          </w:tcPr>
          <w:p w14:paraId="431400B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中央财政支持公立医院改革与高质量发展提升项目</w:t>
            </w:r>
          </w:p>
        </w:tc>
      </w:tr>
      <w:tr w14:paraId="49EC83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2488" w:type="dxa"/>
            <w:gridSpan w:val="3"/>
            <w:tcBorders>
              <w:top w:val="single" w:color="auto" w:sz="4" w:space="0"/>
              <w:left w:val="single" w:color="auto" w:sz="4" w:space="0"/>
              <w:bottom w:val="single" w:color="auto" w:sz="4" w:space="0"/>
              <w:right w:val="single" w:color="auto" w:sz="4" w:space="0"/>
            </w:tcBorders>
            <w:noWrap w:val="0"/>
            <w:vAlign w:val="center"/>
          </w:tcPr>
          <w:p w14:paraId="372F97A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省级主管部门</w:t>
            </w:r>
          </w:p>
        </w:tc>
        <w:tc>
          <w:tcPr>
            <w:tcW w:w="7357" w:type="dxa"/>
            <w:gridSpan w:val="5"/>
            <w:tcBorders>
              <w:top w:val="single" w:color="auto" w:sz="4" w:space="0"/>
              <w:left w:val="single" w:color="auto" w:sz="4" w:space="0"/>
              <w:bottom w:val="single" w:color="auto" w:sz="4" w:space="0"/>
              <w:right w:val="single" w:color="auto" w:sz="4" w:space="0"/>
            </w:tcBorders>
            <w:noWrap w:val="0"/>
            <w:vAlign w:val="center"/>
          </w:tcPr>
          <w:p w14:paraId="4D85943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内蒙古自治区财政厅、卫健委</w:t>
            </w:r>
          </w:p>
        </w:tc>
      </w:tr>
      <w:tr w14:paraId="4F330C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2488" w:type="dxa"/>
            <w:gridSpan w:val="3"/>
            <w:tcBorders>
              <w:top w:val="single" w:color="auto" w:sz="4" w:space="0"/>
              <w:left w:val="single" w:color="auto" w:sz="4" w:space="0"/>
              <w:bottom w:val="single" w:color="auto" w:sz="4" w:space="0"/>
              <w:right w:val="single" w:color="auto" w:sz="4" w:space="0"/>
            </w:tcBorders>
            <w:noWrap w:val="0"/>
            <w:vAlign w:val="center"/>
          </w:tcPr>
          <w:p w14:paraId="55131F8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市级财政部门</w:t>
            </w:r>
          </w:p>
        </w:tc>
        <w:tc>
          <w:tcPr>
            <w:tcW w:w="2019" w:type="dxa"/>
            <w:gridSpan w:val="2"/>
            <w:tcBorders>
              <w:top w:val="single" w:color="auto" w:sz="4" w:space="0"/>
              <w:left w:val="single" w:color="auto" w:sz="4" w:space="0"/>
              <w:bottom w:val="single" w:color="auto" w:sz="4" w:space="0"/>
              <w:right w:val="single" w:color="auto" w:sz="4" w:space="0"/>
            </w:tcBorders>
            <w:noWrap w:val="0"/>
            <w:vAlign w:val="center"/>
          </w:tcPr>
          <w:p w14:paraId="5266DB11">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仿宋_GB2312" w:cs="Times New Roman"/>
                <w:i w:val="0"/>
                <w:iCs w:val="0"/>
                <w:color w:val="000000"/>
                <w:sz w:val="21"/>
                <w:szCs w:val="21"/>
                <w:highlight w:val="none"/>
                <w:u w:val="none"/>
                <w:lang w:val="en-US"/>
              </w:rPr>
            </w:pPr>
            <w:r>
              <w:rPr>
                <w:rFonts w:hint="default" w:ascii="Times New Roman" w:hAnsi="Times New Roman" w:eastAsia="仿宋_GB2312" w:cs="Times New Roman"/>
                <w:i w:val="0"/>
                <w:iCs w:val="0"/>
                <w:color w:val="000000"/>
                <w:kern w:val="0"/>
                <w:sz w:val="21"/>
                <w:szCs w:val="21"/>
                <w:highlight w:val="none"/>
                <w:u w:val="none"/>
                <w:lang w:val="en-US" w:eastAsia="zh-CN" w:bidi="ar"/>
              </w:rPr>
              <w:t>巴彦淖尔市财政局</w:t>
            </w:r>
          </w:p>
        </w:tc>
        <w:tc>
          <w:tcPr>
            <w:tcW w:w="2200" w:type="dxa"/>
            <w:tcBorders>
              <w:top w:val="single" w:color="auto" w:sz="4" w:space="0"/>
              <w:left w:val="single" w:color="auto" w:sz="4" w:space="0"/>
              <w:bottom w:val="single" w:color="auto" w:sz="4" w:space="0"/>
              <w:right w:val="single" w:color="auto" w:sz="4" w:space="0"/>
            </w:tcBorders>
            <w:noWrap w:val="0"/>
            <w:vAlign w:val="center"/>
          </w:tcPr>
          <w:p w14:paraId="38903EC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市级卫生健康部门</w:t>
            </w:r>
          </w:p>
        </w:tc>
        <w:tc>
          <w:tcPr>
            <w:tcW w:w="3138" w:type="dxa"/>
            <w:gridSpan w:val="2"/>
            <w:tcBorders>
              <w:top w:val="single" w:color="auto" w:sz="4" w:space="0"/>
              <w:left w:val="single" w:color="auto" w:sz="4" w:space="0"/>
              <w:bottom w:val="single" w:color="auto" w:sz="4" w:space="0"/>
              <w:right w:val="single" w:color="auto" w:sz="4" w:space="0"/>
            </w:tcBorders>
            <w:noWrap w:val="0"/>
            <w:vAlign w:val="center"/>
          </w:tcPr>
          <w:p w14:paraId="58BE863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巴彦淖尔市卫健委</w:t>
            </w:r>
          </w:p>
        </w:tc>
      </w:tr>
      <w:tr w14:paraId="6E985D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9" w:hRule="atLeast"/>
          <w:jc w:val="center"/>
        </w:trPr>
        <w:tc>
          <w:tcPr>
            <w:tcW w:w="2488" w:type="dxa"/>
            <w:gridSpan w:val="3"/>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78E2500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highlight w:val="none"/>
                <w:u w:val="none"/>
                <w:lang w:val="en-US" w:eastAsia="zh-CN" w:bidi="ar"/>
              </w:rPr>
              <w:t>项目资金</w:t>
            </w:r>
          </w:p>
          <w:p w14:paraId="0CCBD52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（万元）</w:t>
            </w:r>
          </w:p>
        </w:tc>
        <w:tc>
          <w:tcPr>
            <w:tcW w:w="2019" w:type="dxa"/>
            <w:gridSpan w:val="2"/>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12C3D9A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lang w:val="en-US" w:eastAsia="zh-CN"/>
              </w:rPr>
            </w:pPr>
            <w:r>
              <w:rPr>
                <w:rFonts w:hint="default" w:ascii="Times New Roman" w:hAnsi="Times New Roman" w:eastAsia="仿宋_GB2312" w:cs="Times New Roman"/>
                <w:i w:val="0"/>
                <w:iCs w:val="0"/>
                <w:color w:val="000000"/>
                <w:sz w:val="21"/>
                <w:szCs w:val="21"/>
                <w:highlight w:val="none"/>
                <w:u w:val="none"/>
                <w:lang w:val="en-US" w:eastAsia="zh-CN"/>
              </w:rPr>
              <w:t>920</w:t>
            </w:r>
          </w:p>
        </w:tc>
        <w:tc>
          <w:tcPr>
            <w:tcW w:w="22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921ED4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highlight w:val="none"/>
                <w:u w:val="none"/>
                <w:lang w:val="en-US" w:eastAsia="zh-CN" w:bidi="ar"/>
              </w:rPr>
              <w:t>中央财政补助资金</w:t>
            </w:r>
          </w:p>
          <w:p w14:paraId="3C3DAE3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（万元）</w:t>
            </w:r>
          </w:p>
        </w:tc>
        <w:tc>
          <w:tcPr>
            <w:tcW w:w="3138" w:type="dxa"/>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14:paraId="284129E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lang w:val="en-US" w:eastAsia="zh-CN"/>
              </w:rPr>
            </w:pPr>
            <w:r>
              <w:rPr>
                <w:rFonts w:hint="default" w:ascii="Times New Roman" w:hAnsi="Times New Roman" w:eastAsia="仿宋_GB2312" w:cs="Times New Roman"/>
                <w:i w:val="0"/>
                <w:iCs w:val="0"/>
                <w:color w:val="000000"/>
                <w:sz w:val="21"/>
                <w:szCs w:val="21"/>
                <w:highlight w:val="none"/>
                <w:u w:val="none"/>
                <w:lang w:val="en-US" w:eastAsia="zh-CN"/>
              </w:rPr>
              <w:t>566</w:t>
            </w:r>
          </w:p>
        </w:tc>
      </w:tr>
      <w:tr w14:paraId="112F2A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9" w:hRule="atLeast"/>
          <w:jc w:val="center"/>
        </w:trPr>
        <w:tc>
          <w:tcPr>
            <w:tcW w:w="2488" w:type="dxa"/>
            <w:gridSpan w:val="3"/>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1127F6DA">
            <w:pPr>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22"/>
                <w:szCs w:val="22"/>
                <w:highlight w:val="none"/>
                <w:u w:val="none"/>
              </w:rPr>
            </w:pPr>
          </w:p>
        </w:tc>
        <w:tc>
          <w:tcPr>
            <w:tcW w:w="2019" w:type="dxa"/>
            <w:gridSpan w:val="2"/>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5E44700C">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22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673528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highlight w:val="none"/>
                <w:u w:val="none"/>
                <w:lang w:val="en-US" w:eastAsia="zh-CN" w:bidi="ar"/>
              </w:rPr>
              <w:t>地方财政补助资金</w:t>
            </w:r>
          </w:p>
          <w:p w14:paraId="38D510B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（万元）</w:t>
            </w:r>
          </w:p>
        </w:tc>
        <w:tc>
          <w:tcPr>
            <w:tcW w:w="3138" w:type="dxa"/>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14:paraId="23FC4DF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lang w:val="en-US" w:eastAsia="zh-CN"/>
              </w:rPr>
            </w:pPr>
            <w:r>
              <w:rPr>
                <w:rFonts w:hint="default" w:ascii="Times New Roman" w:hAnsi="Times New Roman" w:eastAsia="仿宋_GB2312" w:cs="Times New Roman"/>
                <w:i w:val="0"/>
                <w:iCs w:val="0"/>
                <w:color w:val="000000"/>
                <w:sz w:val="21"/>
                <w:szCs w:val="21"/>
                <w:highlight w:val="none"/>
                <w:u w:val="none"/>
                <w:lang w:val="en-US" w:eastAsia="zh-CN"/>
              </w:rPr>
              <w:t>302</w:t>
            </w:r>
          </w:p>
        </w:tc>
      </w:tr>
      <w:tr w14:paraId="714E70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2" w:hRule="atLeast"/>
          <w:jc w:val="center"/>
        </w:trPr>
        <w:tc>
          <w:tcPr>
            <w:tcW w:w="2488" w:type="dxa"/>
            <w:gridSpan w:val="3"/>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4714DFDE">
            <w:pPr>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22"/>
                <w:szCs w:val="22"/>
                <w:highlight w:val="none"/>
                <w:u w:val="none"/>
              </w:rPr>
            </w:pPr>
          </w:p>
        </w:tc>
        <w:tc>
          <w:tcPr>
            <w:tcW w:w="2019" w:type="dxa"/>
            <w:gridSpan w:val="2"/>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0EB153A0">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22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21AD28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机构自筹资金（万元）</w:t>
            </w:r>
          </w:p>
        </w:tc>
        <w:tc>
          <w:tcPr>
            <w:tcW w:w="3138" w:type="dxa"/>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14:paraId="4F0753C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lang w:val="en-US"/>
              </w:rPr>
            </w:pPr>
            <w:r>
              <w:rPr>
                <w:rFonts w:hint="default" w:ascii="Times New Roman" w:hAnsi="Times New Roman" w:eastAsia="仿宋_GB2312" w:cs="Times New Roman"/>
                <w:i w:val="0"/>
                <w:iCs w:val="0"/>
                <w:color w:val="000000"/>
                <w:kern w:val="0"/>
                <w:sz w:val="21"/>
                <w:szCs w:val="21"/>
                <w:highlight w:val="none"/>
                <w:u w:val="none"/>
                <w:lang w:val="en-US" w:eastAsia="zh-CN" w:bidi="ar"/>
              </w:rPr>
              <w:t>52</w:t>
            </w:r>
          </w:p>
        </w:tc>
      </w:tr>
      <w:tr w14:paraId="31089C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76" w:hRule="atLeast"/>
          <w:jc w:val="center"/>
        </w:trPr>
        <w:tc>
          <w:tcPr>
            <w:tcW w:w="1080" w:type="dxa"/>
            <w:tcBorders>
              <w:top w:val="single" w:color="auto" w:sz="4" w:space="0"/>
              <w:left w:val="single" w:color="auto" w:sz="4" w:space="0"/>
              <w:bottom w:val="single" w:color="auto" w:sz="4" w:space="0"/>
              <w:right w:val="single" w:color="auto" w:sz="4" w:space="0"/>
            </w:tcBorders>
            <w:noWrap w:val="0"/>
            <w:vAlign w:val="center"/>
          </w:tcPr>
          <w:p w14:paraId="64C8DE9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highlight w:val="none"/>
                <w:u w:val="none"/>
                <w:lang w:val="en-US" w:eastAsia="zh-CN" w:bidi="ar"/>
              </w:rPr>
              <w:t>总</w:t>
            </w:r>
          </w:p>
          <w:p w14:paraId="009F76F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体</w:t>
            </w:r>
          </w:p>
          <w:p w14:paraId="7BB5F4C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目</w:t>
            </w:r>
          </w:p>
          <w:p w14:paraId="0906D67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标</w:t>
            </w:r>
          </w:p>
        </w:tc>
        <w:tc>
          <w:tcPr>
            <w:tcW w:w="8765" w:type="dxa"/>
            <w:gridSpan w:val="7"/>
            <w:tcBorders>
              <w:top w:val="single" w:color="auto" w:sz="4" w:space="0"/>
              <w:left w:val="single" w:color="auto" w:sz="4" w:space="0"/>
              <w:bottom w:val="single" w:color="auto" w:sz="4" w:space="0"/>
              <w:right w:val="single" w:color="auto" w:sz="4" w:space="0"/>
            </w:tcBorders>
            <w:noWrap w:val="0"/>
            <w:vAlign w:val="center"/>
          </w:tcPr>
          <w:p w14:paraId="1E9D779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snapToGrid/>
              <w:spacing w:beforeAutospacing="0" w:after="0" w:afterAutospacing="0" w:line="260" w:lineRule="exact"/>
              <w:ind w:left="0" w:right="0" w:firstLine="420" w:firstLineChars="200"/>
              <w:jc w:val="both"/>
              <w:textAlignment w:val="auto"/>
              <w:rPr>
                <w:rFonts w:hint="default" w:ascii="Times New Roman" w:hAnsi="Times New Roman" w:eastAsia="仿宋_GB2312" w:cs="Times New Roman"/>
                <w:strike w:val="0"/>
                <w:dstrike w:val="0"/>
                <w:color w:val="auto"/>
                <w:sz w:val="21"/>
                <w:szCs w:val="21"/>
                <w:highlight w:val="none"/>
                <w:u w:val="none"/>
              </w:rPr>
            </w:pPr>
          </w:p>
          <w:p w14:paraId="6847199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snapToGrid/>
              <w:spacing w:beforeAutospacing="0" w:after="0" w:afterAutospacing="0" w:line="260" w:lineRule="exact"/>
              <w:ind w:left="0" w:right="0" w:firstLine="420" w:firstLineChars="200"/>
              <w:jc w:val="both"/>
              <w:textAlignment w:val="auto"/>
              <w:rPr>
                <w:rFonts w:hint="default" w:ascii="Times New Roman" w:hAnsi="Times New Roman" w:eastAsia="仿宋_GB2312" w:cs="Times New Roman"/>
                <w:color w:val="1F2329"/>
                <w:sz w:val="21"/>
                <w:szCs w:val="21"/>
              </w:rPr>
            </w:pPr>
            <w:r>
              <w:rPr>
                <w:rFonts w:hint="default" w:ascii="Times New Roman" w:hAnsi="Times New Roman" w:eastAsia="仿宋_GB2312" w:cs="Times New Roman"/>
                <w:strike w:val="0"/>
                <w:dstrike w:val="0"/>
                <w:color w:val="auto"/>
                <w:sz w:val="21"/>
                <w:szCs w:val="21"/>
                <w:highlight w:val="none"/>
                <w:u w:val="none"/>
              </w:rPr>
              <w:t>全面贯彻落实党的二十届三中、四中全会精神，</w:t>
            </w:r>
            <w:r>
              <w:rPr>
                <w:rFonts w:hint="default" w:ascii="Times New Roman" w:hAnsi="Times New Roman" w:eastAsia="仿宋_GB2312" w:cs="Times New Roman"/>
                <w:color w:val="1F2329"/>
                <w:kern w:val="0"/>
                <w:sz w:val="21"/>
                <w:szCs w:val="21"/>
                <w:lang w:val="en-US" w:eastAsia="zh-CN" w:bidi="ar"/>
              </w:rPr>
              <w:t>依托市级优质医疗资源辐射，实现我旗优质医疗资源扩容提质，以紧密型县域医共体为核心的分级诊疗体系更加完善，编制资源高效盘活，薪酬制度激励作用充分发挥，公立医院发展质量、效益与公益性同步提升。旗级医院旗域龙头作用持续强化，基层医疗卫生机构“健康守门人”作用不断巩固。</w:t>
            </w:r>
          </w:p>
          <w:p w14:paraId="5637A69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left"/>
              <w:textAlignment w:val="center"/>
              <w:rPr>
                <w:rFonts w:hint="default" w:ascii="Times New Roman" w:hAnsi="Times New Roman" w:eastAsia="仿宋_GB2312" w:cs="Times New Roman"/>
                <w:i w:val="0"/>
                <w:iCs w:val="0"/>
                <w:color w:val="000000"/>
                <w:sz w:val="21"/>
                <w:szCs w:val="21"/>
                <w:highlight w:val="none"/>
                <w:u w:val="none"/>
              </w:rPr>
            </w:pPr>
          </w:p>
        </w:tc>
      </w:tr>
      <w:tr w14:paraId="27133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1080" w:type="dxa"/>
            <w:vMerge w:val="restart"/>
            <w:tcBorders>
              <w:top w:val="single" w:color="auto" w:sz="4" w:space="0"/>
              <w:left w:val="single" w:color="auto" w:sz="4" w:space="0"/>
              <w:right w:val="single" w:color="auto" w:sz="4" w:space="0"/>
            </w:tcBorders>
            <w:noWrap w:val="0"/>
            <w:vAlign w:val="center"/>
          </w:tcPr>
          <w:p w14:paraId="3934A27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p>
          <w:p w14:paraId="509DE4D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p>
          <w:p w14:paraId="74F7AA1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p>
          <w:p w14:paraId="01CBAA8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p>
          <w:p w14:paraId="43428DC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p>
          <w:p w14:paraId="4827F14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p>
          <w:p w14:paraId="0FAD1D0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p>
          <w:p w14:paraId="466256F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p>
          <w:p w14:paraId="4EA8B27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p>
          <w:p w14:paraId="1EEF9CA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highlight w:val="none"/>
                <w:u w:val="none"/>
                <w:lang w:val="en-US" w:eastAsia="zh-CN" w:bidi="ar"/>
              </w:rPr>
              <w:t>绩效指标</w:t>
            </w:r>
          </w:p>
          <w:p w14:paraId="18E7C61A">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kern w:val="0"/>
                <w:sz w:val="21"/>
                <w:szCs w:val="21"/>
                <w:highlight w:val="none"/>
                <w:u w:val="none"/>
                <w:lang w:val="en-US" w:eastAsia="zh-CN" w:bidi="ar"/>
              </w:rPr>
            </w:pPr>
          </w:p>
          <w:p w14:paraId="0EAFDB93">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kern w:val="0"/>
                <w:sz w:val="21"/>
                <w:szCs w:val="21"/>
                <w:highlight w:val="none"/>
                <w:u w:val="none"/>
                <w:lang w:val="en-US" w:eastAsia="zh-CN" w:bidi="ar"/>
              </w:rPr>
            </w:pPr>
          </w:p>
          <w:p w14:paraId="0C121934">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kern w:val="0"/>
                <w:sz w:val="21"/>
                <w:szCs w:val="21"/>
                <w:highlight w:val="none"/>
                <w:u w:val="none"/>
                <w:lang w:val="en-US" w:eastAsia="zh-CN" w:bidi="ar"/>
              </w:rPr>
            </w:pPr>
          </w:p>
          <w:p w14:paraId="10AD65AA">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kern w:val="0"/>
                <w:sz w:val="21"/>
                <w:szCs w:val="21"/>
                <w:highlight w:val="none"/>
                <w:u w:val="none"/>
                <w:lang w:val="en-US" w:eastAsia="zh-CN" w:bidi="ar"/>
              </w:rPr>
            </w:pPr>
          </w:p>
          <w:p w14:paraId="48122CEA">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kern w:val="0"/>
                <w:sz w:val="21"/>
                <w:szCs w:val="21"/>
                <w:highlight w:val="none"/>
                <w:u w:val="none"/>
                <w:lang w:val="en-US" w:eastAsia="zh-CN" w:bidi="ar"/>
              </w:rPr>
            </w:pPr>
          </w:p>
          <w:p w14:paraId="02985AB0">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kern w:val="0"/>
                <w:sz w:val="21"/>
                <w:szCs w:val="21"/>
                <w:highlight w:val="none"/>
                <w:u w:val="none"/>
                <w:lang w:val="en-US" w:eastAsia="zh-CN" w:bidi="ar"/>
              </w:rPr>
            </w:pPr>
          </w:p>
          <w:p w14:paraId="5E811B7D">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kern w:val="0"/>
                <w:sz w:val="21"/>
                <w:szCs w:val="21"/>
                <w:highlight w:val="none"/>
                <w:u w:val="none"/>
                <w:lang w:val="en-US" w:eastAsia="zh-CN" w:bidi="ar"/>
              </w:rPr>
            </w:pPr>
          </w:p>
          <w:p w14:paraId="6C9FD1F5">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kern w:val="0"/>
                <w:sz w:val="21"/>
                <w:szCs w:val="21"/>
                <w:highlight w:val="none"/>
                <w:u w:val="none"/>
                <w:lang w:val="en-US" w:eastAsia="zh-CN" w:bidi="ar"/>
              </w:rPr>
            </w:pPr>
          </w:p>
          <w:p w14:paraId="1EB1456A">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kern w:val="0"/>
                <w:sz w:val="21"/>
                <w:szCs w:val="21"/>
                <w:highlight w:val="none"/>
                <w:u w:val="none"/>
                <w:lang w:val="en-US" w:eastAsia="zh-CN" w:bidi="ar"/>
              </w:rPr>
            </w:pPr>
          </w:p>
          <w:p w14:paraId="5B75E9AD">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kern w:val="0"/>
                <w:sz w:val="21"/>
                <w:szCs w:val="21"/>
                <w:highlight w:val="none"/>
                <w:u w:val="none"/>
                <w:lang w:val="en-US" w:eastAsia="zh-CN" w:bidi="ar"/>
              </w:rPr>
            </w:pPr>
          </w:p>
          <w:p w14:paraId="08AEF24C">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kern w:val="0"/>
                <w:sz w:val="21"/>
                <w:szCs w:val="21"/>
                <w:highlight w:val="none"/>
                <w:u w:val="none"/>
                <w:lang w:val="en-US" w:eastAsia="zh-CN" w:bidi="ar"/>
              </w:rPr>
            </w:pPr>
          </w:p>
          <w:p w14:paraId="2C567587">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kern w:val="0"/>
                <w:sz w:val="21"/>
                <w:szCs w:val="21"/>
                <w:highlight w:val="none"/>
                <w:u w:val="none"/>
                <w:lang w:val="en-US" w:eastAsia="zh-CN" w:bidi="ar"/>
              </w:rPr>
            </w:pPr>
          </w:p>
          <w:p w14:paraId="0746E95A">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kern w:val="0"/>
                <w:sz w:val="21"/>
                <w:szCs w:val="21"/>
                <w:highlight w:val="none"/>
                <w:u w:val="none"/>
                <w:lang w:val="en-US" w:eastAsia="zh-CN" w:bidi="ar"/>
              </w:rPr>
            </w:pPr>
          </w:p>
          <w:p w14:paraId="1DF6215F">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kern w:val="0"/>
                <w:sz w:val="21"/>
                <w:szCs w:val="21"/>
                <w:highlight w:val="none"/>
                <w:u w:val="none"/>
                <w:lang w:val="en-US" w:eastAsia="zh-CN" w:bidi="ar"/>
              </w:rPr>
            </w:pPr>
          </w:p>
          <w:p w14:paraId="351500B9">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kern w:val="0"/>
                <w:sz w:val="21"/>
                <w:szCs w:val="21"/>
                <w:highlight w:val="none"/>
                <w:u w:val="none"/>
                <w:lang w:val="en-US" w:eastAsia="zh-CN" w:bidi="ar"/>
              </w:rPr>
            </w:pPr>
          </w:p>
          <w:p w14:paraId="2CCB442C">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kern w:val="0"/>
                <w:sz w:val="21"/>
                <w:szCs w:val="21"/>
                <w:highlight w:val="none"/>
                <w:u w:val="none"/>
                <w:lang w:val="en-US" w:eastAsia="zh-CN" w:bidi="ar"/>
              </w:rPr>
            </w:pPr>
          </w:p>
          <w:p w14:paraId="4FA5B16E">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kern w:val="0"/>
                <w:sz w:val="21"/>
                <w:szCs w:val="21"/>
                <w:highlight w:val="none"/>
                <w:u w:val="none"/>
                <w:lang w:val="en-US" w:eastAsia="zh-CN" w:bidi="ar"/>
              </w:rPr>
            </w:pPr>
          </w:p>
          <w:p w14:paraId="795C8F2F">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kern w:val="0"/>
                <w:sz w:val="21"/>
                <w:szCs w:val="21"/>
                <w:highlight w:val="none"/>
                <w:u w:val="none"/>
                <w:lang w:val="en-US" w:eastAsia="zh-CN" w:bidi="ar"/>
              </w:rPr>
            </w:pPr>
          </w:p>
          <w:p w14:paraId="20F6636D">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kern w:val="0"/>
                <w:sz w:val="21"/>
                <w:szCs w:val="21"/>
                <w:highlight w:val="none"/>
                <w:u w:val="none"/>
                <w:lang w:val="en-US" w:eastAsia="zh-CN" w:bidi="ar"/>
              </w:rPr>
            </w:pPr>
          </w:p>
          <w:p w14:paraId="639A4D87">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kern w:val="0"/>
                <w:sz w:val="21"/>
                <w:szCs w:val="21"/>
                <w:highlight w:val="none"/>
                <w:u w:val="none"/>
                <w:lang w:val="en-US" w:eastAsia="zh-CN" w:bidi="ar"/>
              </w:rPr>
            </w:pPr>
          </w:p>
          <w:p w14:paraId="2D211883">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kern w:val="0"/>
                <w:sz w:val="21"/>
                <w:szCs w:val="21"/>
                <w:highlight w:val="none"/>
                <w:u w:val="none"/>
                <w:lang w:val="en-US" w:eastAsia="zh-CN" w:bidi="ar"/>
              </w:rPr>
            </w:pPr>
          </w:p>
          <w:p w14:paraId="108749CD">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kern w:val="0"/>
                <w:sz w:val="21"/>
                <w:szCs w:val="21"/>
                <w:highlight w:val="none"/>
                <w:u w:val="none"/>
                <w:lang w:val="en-US" w:eastAsia="zh-CN" w:bidi="ar"/>
              </w:rPr>
            </w:pPr>
          </w:p>
          <w:p w14:paraId="72C5902B">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绩效指标</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1EC9EED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一级指标</w:t>
            </w:r>
          </w:p>
        </w:tc>
        <w:tc>
          <w:tcPr>
            <w:tcW w:w="1178" w:type="dxa"/>
            <w:gridSpan w:val="2"/>
            <w:tcBorders>
              <w:top w:val="single" w:color="auto" w:sz="4" w:space="0"/>
              <w:left w:val="single" w:color="auto" w:sz="4" w:space="0"/>
              <w:bottom w:val="single" w:color="auto" w:sz="4" w:space="0"/>
              <w:right w:val="single" w:color="auto" w:sz="4" w:space="0"/>
            </w:tcBorders>
            <w:noWrap w:val="0"/>
            <w:vAlign w:val="center"/>
          </w:tcPr>
          <w:p w14:paraId="5DC17D5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二级指标</w:t>
            </w:r>
          </w:p>
        </w:tc>
        <w:tc>
          <w:tcPr>
            <w:tcW w:w="3369" w:type="dxa"/>
            <w:gridSpan w:val="2"/>
            <w:tcBorders>
              <w:top w:val="single" w:color="auto" w:sz="4" w:space="0"/>
              <w:left w:val="single" w:color="auto" w:sz="4" w:space="0"/>
              <w:bottom w:val="single" w:color="auto" w:sz="4" w:space="0"/>
              <w:right w:val="single" w:color="auto" w:sz="4" w:space="0"/>
            </w:tcBorders>
            <w:noWrap w:val="0"/>
            <w:vAlign w:val="center"/>
          </w:tcPr>
          <w:p w14:paraId="254B02D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三级指标</w:t>
            </w:r>
          </w:p>
        </w:tc>
        <w:tc>
          <w:tcPr>
            <w:tcW w:w="1601" w:type="dxa"/>
            <w:tcBorders>
              <w:top w:val="single" w:color="auto" w:sz="4" w:space="0"/>
              <w:left w:val="single" w:color="auto" w:sz="4" w:space="0"/>
              <w:bottom w:val="single" w:color="auto" w:sz="4" w:space="0"/>
              <w:right w:val="single" w:color="auto" w:sz="4" w:space="0"/>
            </w:tcBorders>
            <w:noWrap w:val="0"/>
            <w:vAlign w:val="center"/>
          </w:tcPr>
          <w:p w14:paraId="5555594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highlight w:val="none"/>
                <w:u w:val="none"/>
                <w:lang w:val="en-US" w:eastAsia="zh-CN" w:bidi="ar"/>
              </w:rPr>
              <w:t>2026年</w:t>
            </w:r>
          </w:p>
          <w:p w14:paraId="405BA42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目标值</w:t>
            </w:r>
          </w:p>
        </w:tc>
        <w:tc>
          <w:tcPr>
            <w:tcW w:w="1537" w:type="dxa"/>
            <w:tcBorders>
              <w:top w:val="single" w:color="auto" w:sz="4" w:space="0"/>
              <w:left w:val="single" w:color="auto" w:sz="4" w:space="0"/>
              <w:bottom w:val="single" w:color="auto" w:sz="4" w:space="0"/>
              <w:right w:val="single" w:color="auto" w:sz="4" w:space="0"/>
            </w:tcBorders>
            <w:noWrap w:val="0"/>
            <w:vAlign w:val="center"/>
          </w:tcPr>
          <w:p w14:paraId="060759E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highlight w:val="none"/>
                <w:u w:val="none"/>
                <w:lang w:val="en-US" w:eastAsia="zh-CN" w:bidi="ar"/>
              </w:rPr>
              <w:t>2027年</w:t>
            </w:r>
          </w:p>
          <w:p w14:paraId="7DA9FF4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目标值</w:t>
            </w:r>
          </w:p>
        </w:tc>
      </w:tr>
      <w:tr w14:paraId="032A55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5" w:hRule="atLeast"/>
          <w:jc w:val="center"/>
        </w:trPr>
        <w:tc>
          <w:tcPr>
            <w:tcW w:w="1080" w:type="dxa"/>
            <w:vMerge w:val="continue"/>
            <w:tcBorders>
              <w:left w:val="single" w:color="auto" w:sz="4" w:space="0"/>
              <w:right w:val="single" w:color="auto" w:sz="4" w:space="0"/>
            </w:tcBorders>
            <w:noWrap w:val="0"/>
            <w:vAlign w:val="center"/>
          </w:tcPr>
          <w:p w14:paraId="20EE00CC">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14:paraId="715338C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成本指标</w:t>
            </w:r>
          </w:p>
        </w:tc>
        <w:tc>
          <w:tcPr>
            <w:tcW w:w="1178"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1C8CF33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经济成本指标</w:t>
            </w:r>
          </w:p>
        </w:tc>
        <w:tc>
          <w:tcPr>
            <w:tcW w:w="3369" w:type="dxa"/>
            <w:gridSpan w:val="2"/>
            <w:tcBorders>
              <w:top w:val="single" w:color="auto" w:sz="4" w:space="0"/>
              <w:left w:val="single" w:color="auto" w:sz="4" w:space="0"/>
              <w:bottom w:val="single" w:color="auto" w:sz="4" w:space="0"/>
              <w:right w:val="single" w:color="auto" w:sz="4" w:space="0"/>
            </w:tcBorders>
            <w:noWrap w:val="0"/>
            <w:vAlign w:val="center"/>
          </w:tcPr>
          <w:p w14:paraId="033FA56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1.公立医院门诊次均费用增幅</w:t>
            </w:r>
          </w:p>
        </w:tc>
        <w:tc>
          <w:tcPr>
            <w:tcW w:w="1601" w:type="dxa"/>
            <w:tcBorders>
              <w:top w:val="single" w:color="auto" w:sz="4" w:space="0"/>
              <w:left w:val="single" w:color="auto" w:sz="4" w:space="0"/>
              <w:bottom w:val="single" w:color="auto" w:sz="4" w:space="0"/>
              <w:right w:val="single" w:color="auto" w:sz="4" w:space="0"/>
            </w:tcBorders>
            <w:noWrap w:val="0"/>
            <w:vAlign w:val="center"/>
          </w:tcPr>
          <w:p w14:paraId="0DDCC67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&lt;1.5%</w:t>
            </w:r>
          </w:p>
        </w:tc>
        <w:tc>
          <w:tcPr>
            <w:tcW w:w="1537" w:type="dxa"/>
            <w:tcBorders>
              <w:top w:val="single" w:color="auto" w:sz="4" w:space="0"/>
              <w:left w:val="single" w:color="auto" w:sz="4" w:space="0"/>
              <w:bottom w:val="single" w:color="auto" w:sz="4" w:space="0"/>
              <w:right w:val="single" w:color="auto" w:sz="4" w:space="0"/>
            </w:tcBorders>
            <w:noWrap w:val="0"/>
            <w:vAlign w:val="center"/>
          </w:tcPr>
          <w:p w14:paraId="25A08D3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&lt;1.5%</w:t>
            </w:r>
          </w:p>
        </w:tc>
      </w:tr>
      <w:tr w14:paraId="238E36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6" w:hRule="atLeast"/>
          <w:jc w:val="center"/>
        </w:trPr>
        <w:tc>
          <w:tcPr>
            <w:tcW w:w="1080" w:type="dxa"/>
            <w:vMerge w:val="continue"/>
            <w:tcBorders>
              <w:left w:val="single" w:color="auto" w:sz="4" w:space="0"/>
              <w:right w:val="single" w:color="auto" w:sz="4" w:space="0"/>
            </w:tcBorders>
            <w:noWrap w:val="0"/>
            <w:vAlign w:val="center"/>
          </w:tcPr>
          <w:p w14:paraId="3873C89C">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70D7AFB9">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1178"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32AE3225">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3369" w:type="dxa"/>
            <w:gridSpan w:val="2"/>
            <w:tcBorders>
              <w:top w:val="single" w:color="auto" w:sz="4" w:space="0"/>
              <w:left w:val="single" w:color="auto" w:sz="4" w:space="0"/>
              <w:bottom w:val="single" w:color="auto" w:sz="4" w:space="0"/>
              <w:right w:val="single" w:color="auto" w:sz="4" w:space="0"/>
            </w:tcBorders>
            <w:noWrap w:val="0"/>
            <w:vAlign w:val="center"/>
          </w:tcPr>
          <w:p w14:paraId="4CB600D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2.公立医院住院次均费用增幅</w:t>
            </w:r>
          </w:p>
        </w:tc>
        <w:tc>
          <w:tcPr>
            <w:tcW w:w="1601" w:type="dxa"/>
            <w:tcBorders>
              <w:top w:val="single" w:color="auto" w:sz="4" w:space="0"/>
              <w:left w:val="single" w:color="auto" w:sz="4" w:space="0"/>
              <w:bottom w:val="single" w:color="auto" w:sz="4" w:space="0"/>
              <w:right w:val="single" w:color="auto" w:sz="4" w:space="0"/>
            </w:tcBorders>
            <w:noWrap w:val="0"/>
            <w:vAlign w:val="center"/>
          </w:tcPr>
          <w:p w14:paraId="2AF973B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&lt;1.5%</w:t>
            </w:r>
          </w:p>
        </w:tc>
        <w:tc>
          <w:tcPr>
            <w:tcW w:w="1537" w:type="dxa"/>
            <w:tcBorders>
              <w:top w:val="single" w:color="auto" w:sz="4" w:space="0"/>
              <w:left w:val="single" w:color="auto" w:sz="4" w:space="0"/>
              <w:bottom w:val="single" w:color="auto" w:sz="4" w:space="0"/>
              <w:right w:val="single" w:color="auto" w:sz="4" w:space="0"/>
            </w:tcBorders>
            <w:noWrap w:val="0"/>
            <w:vAlign w:val="center"/>
          </w:tcPr>
          <w:p w14:paraId="237DA69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&lt;1.5%</w:t>
            </w:r>
          </w:p>
        </w:tc>
      </w:tr>
      <w:tr w14:paraId="683A4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1" w:hRule="atLeast"/>
          <w:jc w:val="center"/>
        </w:trPr>
        <w:tc>
          <w:tcPr>
            <w:tcW w:w="1080" w:type="dxa"/>
            <w:vMerge w:val="continue"/>
            <w:tcBorders>
              <w:left w:val="single" w:color="auto" w:sz="4" w:space="0"/>
              <w:right w:val="single" w:color="auto" w:sz="4" w:space="0"/>
            </w:tcBorders>
            <w:noWrap w:val="0"/>
            <w:vAlign w:val="center"/>
          </w:tcPr>
          <w:p w14:paraId="29C5D8BB">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1FA2E69E">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1178"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1B5D7697">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3369" w:type="dxa"/>
            <w:gridSpan w:val="2"/>
            <w:tcBorders>
              <w:top w:val="single" w:color="auto" w:sz="4" w:space="0"/>
              <w:left w:val="single" w:color="auto" w:sz="4" w:space="0"/>
              <w:bottom w:val="single" w:color="auto" w:sz="4" w:space="0"/>
              <w:right w:val="single" w:color="auto" w:sz="4" w:space="0"/>
            </w:tcBorders>
            <w:noWrap w:val="0"/>
            <w:vAlign w:val="center"/>
          </w:tcPr>
          <w:p w14:paraId="4540EB0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3.公立医院管理费用占费用总额的比重</w:t>
            </w:r>
          </w:p>
        </w:tc>
        <w:tc>
          <w:tcPr>
            <w:tcW w:w="1601" w:type="dxa"/>
            <w:tcBorders>
              <w:top w:val="single" w:color="auto" w:sz="4" w:space="0"/>
              <w:left w:val="single" w:color="auto" w:sz="4" w:space="0"/>
              <w:bottom w:val="single" w:color="auto" w:sz="4" w:space="0"/>
              <w:right w:val="single" w:color="auto" w:sz="4" w:space="0"/>
            </w:tcBorders>
            <w:noWrap w:val="0"/>
            <w:vAlign w:val="center"/>
          </w:tcPr>
          <w:p w14:paraId="07F6412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≤11%</w:t>
            </w:r>
          </w:p>
        </w:tc>
        <w:tc>
          <w:tcPr>
            <w:tcW w:w="1537" w:type="dxa"/>
            <w:tcBorders>
              <w:top w:val="single" w:color="auto" w:sz="4" w:space="0"/>
              <w:left w:val="single" w:color="auto" w:sz="4" w:space="0"/>
              <w:bottom w:val="single" w:color="auto" w:sz="4" w:space="0"/>
              <w:right w:val="single" w:color="auto" w:sz="4" w:space="0"/>
            </w:tcBorders>
            <w:noWrap w:val="0"/>
            <w:vAlign w:val="center"/>
          </w:tcPr>
          <w:p w14:paraId="5A3BF6B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≤10%</w:t>
            </w:r>
          </w:p>
        </w:tc>
      </w:tr>
      <w:tr w14:paraId="00A67D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7" w:hRule="atLeast"/>
          <w:jc w:val="center"/>
        </w:trPr>
        <w:tc>
          <w:tcPr>
            <w:tcW w:w="1080" w:type="dxa"/>
            <w:vMerge w:val="continue"/>
            <w:tcBorders>
              <w:left w:val="single" w:color="auto" w:sz="4" w:space="0"/>
              <w:right w:val="single" w:color="auto" w:sz="4" w:space="0"/>
            </w:tcBorders>
            <w:noWrap w:val="0"/>
            <w:vAlign w:val="center"/>
          </w:tcPr>
          <w:p w14:paraId="46B65DF9">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430E006A">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1178"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29012451">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3369" w:type="dxa"/>
            <w:gridSpan w:val="2"/>
            <w:tcBorders>
              <w:top w:val="single" w:color="auto" w:sz="4" w:space="0"/>
              <w:left w:val="single" w:color="auto" w:sz="4" w:space="0"/>
              <w:bottom w:val="single" w:color="auto" w:sz="4" w:space="0"/>
              <w:right w:val="single" w:color="auto" w:sz="4" w:space="0"/>
            </w:tcBorders>
            <w:noWrap w:val="0"/>
            <w:vAlign w:val="center"/>
          </w:tcPr>
          <w:p w14:paraId="6604837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4.无基本建设和设备购置非流动负债的公立医院占比</w:t>
            </w:r>
          </w:p>
        </w:tc>
        <w:tc>
          <w:tcPr>
            <w:tcW w:w="1601" w:type="dxa"/>
            <w:tcBorders>
              <w:top w:val="single" w:color="auto" w:sz="4" w:space="0"/>
              <w:left w:val="single" w:color="auto" w:sz="4" w:space="0"/>
              <w:bottom w:val="single" w:color="auto" w:sz="4" w:space="0"/>
              <w:right w:val="single" w:color="auto" w:sz="4" w:space="0"/>
            </w:tcBorders>
            <w:noWrap w:val="0"/>
            <w:vAlign w:val="center"/>
          </w:tcPr>
          <w:p w14:paraId="0E1E7DE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50%</w:t>
            </w:r>
          </w:p>
        </w:tc>
        <w:tc>
          <w:tcPr>
            <w:tcW w:w="1537" w:type="dxa"/>
            <w:tcBorders>
              <w:top w:val="single" w:color="auto" w:sz="4" w:space="0"/>
              <w:left w:val="single" w:color="auto" w:sz="4" w:space="0"/>
              <w:bottom w:val="single" w:color="auto" w:sz="4" w:space="0"/>
              <w:right w:val="single" w:color="auto" w:sz="4" w:space="0"/>
            </w:tcBorders>
            <w:noWrap w:val="0"/>
            <w:vAlign w:val="center"/>
          </w:tcPr>
          <w:p w14:paraId="4F8A080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50%</w:t>
            </w:r>
          </w:p>
        </w:tc>
      </w:tr>
      <w:tr w14:paraId="401C3F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9" w:hRule="atLeast"/>
          <w:jc w:val="center"/>
        </w:trPr>
        <w:tc>
          <w:tcPr>
            <w:tcW w:w="1080" w:type="dxa"/>
            <w:vMerge w:val="continue"/>
            <w:tcBorders>
              <w:left w:val="single" w:color="auto" w:sz="4" w:space="0"/>
              <w:right w:val="single" w:color="auto" w:sz="4" w:space="0"/>
            </w:tcBorders>
            <w:noWrap w:val="0"/>
            <w:vAlign w:val="center"/>
          </w:tcPr>
          <w:p w14:paraId="13D5DC4B">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15E1E11D">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1178"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7D950B64">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3369" w:type="dxa"/>
            <w:gridSpan w:val="2"/>
            <w:tcBorders>
              <w:top w:val="single" w:color="auto" w:sz="4" w:space="0"/>
              <w:left w:val="single" w:color="auto" w:sz="4" w:space="0"/>
              <w:bottom w:val="single" w:color="auto" w:sz="4" w:space="0"/>
              <w:right w:val="single" w:color="auto" w:sz="4" w:space="0"/>
            </w:tcBorders>
            <w:noWrap w:val="0"/>
            <w:vAlign w:val="center"/>
          </w:tcPr>
          <w:p w14:paraId="569E4CA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5.实现收支平衡的公立医院占比</w:t>
            </w:r>
          </w:p>
        </w:tc>
        <w:tc>
          <w:tcPr>
            <w:tcW w:w="1601" w:type="dxa"/>
            <w:tcBorders>
              <w:top w:val="single" w:color="auto" w:sz="4" w:space="0"/>
              <w:left w:val="single" w:color="auto" w:sz="4" w:space="0"/>
              <w:bottom w:val="single" w:color="auto" w:sz="4" w:space="0"/>
              <w:right w:val="single" w:color="auto" w:sz="4" w:space="0"/>
            </w:tcBorders>
            <w:noWrap w:val="0"/>
            <w:vAlign w:val="center"/>
          </w:tcPr>
          <w:p w14:paraId="3D667C8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100%</w:t>
            </w:r>
          </w:p>
        </w:tc>
        <w:tc>
          <w:tcPr>
            <w:tcW w:w="1537" w:type="dxa"/>
            <w:tcBorders>
              <w:top w:val="single" w:color="auto" w:sz="4" w:space="0"/>
              <w:left w:val="single" w:color="auto" w:sz="4" w:space="0"/>
              <w:bottom w:val="single" w:color="auto" w:sz="4" w:space="0"/>
              <w:right w:val="single" w:color="auto" w:sz="4" w:space="0"/>
            </w:tcBorders>
            <w:noWrap w:val="0"/>
            <w:vAlign w:val="center"/>
          </w:tcPr>
          <w:p w14:paraId="08B1E3F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100%</w:t>
            </w:r>
          </w:p>
        </w:tc>
      </w:tr>
      <w:tr w14:paraId="544FB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1" w:hRule="atLeast"/>
          <w:jc w:val="center"/>
        </w:trPr>
        <w:tc>
          <w:tcPr>
            <w:tcW w:w="1080" w:type="dxa"/>
            <w:vMerge w:val="continue"/>
            <w:tcBorders>
              <w:left w:val="single" w:color="auto" w:sz="4" w:space="0"/>
              <w:right w:val="single" w:color="auto" w:sz="4" w:space="0"/>
            </w:tcBorders>
            <w:noWrap w:val="0"/>
            <w:vAlign w:val="center"/>
          </w:tcPr>
          <w:p w14:paraId="58525E6F">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14:paraId="55FE8CD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p>
          <w:p w14:paraId="59A4869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p>
          <w:p w14:paraId="3A614DA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p>
          <w:p w14:paraId="1FE1D6B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p>
          <w:p w14:paraId="22F0DF8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p>
          <w:p w14:paraId="7188FF5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p>
          <w:p w14:paraId="116B79E2">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产出指标</w:t>
            </w:r>
          </w:p>
        </w:tc>
        <w:tc>
          <w:tcPr>
            <w:tcW w:w="1178" w:type="dxa"/>
            <w:gridSpan w:val="2"/>
            <w:vMerge w:val="restart"/>
            <w:tcBorders>
              <w:top w:val="single" w:color="auto" w:sz="4" w:space="0"/>
              <w:left w:val="single" w:color="auto" w:sz="4" w:space="0"/>
              <w:right w:val="single" w:color="auto" w:sz="4" w:space="0"/>
            </w:tcBorders>
            <w:noWrap w:val="0"/>
            <w:vAlign w:val="center"/>
          </w:tcPr>
          <w:p w14:paraId="6990F6A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highlight w:val="none"/>
                <w:u w:val="none"/>
                <w:lang w:val="en-US" w:eastAsia="zh-CN" w:bidi="ar"/>
              </w:rPr>
              <w:t>数量指标</w:t>
            </w:r>
          </w:p>
          <w:p w14:paraId="62EB893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质量指标</w:t>
            </w:r>
          </w:p>
        </w:tc>
        <w:tc>
          <w:tcPr>
            <w:tcW w:w="3369" w:type="dxa"/>
            <w:gridSpan w:val="2"/>
            <w:tcBorders>
              <w:top w:val="single" w:color="auto" w:sz="4" w:space="0"/>
              <w:left w:val="single" w:color="auto" w:sz="4" w:space="0"/>
              <w:bottom w:val="single" w:color="auto" w:sz="4" w:space="0"/>
              <w:right w:val="single" w:color="auto" w:sz="4" w:space="0"/>
            </w:tcBorders>
            <w:noWrap w:val="0"/>
            <w:vAlign w:val="center"/>
          </w:tcPr>
          <w:p w14:paraId="379EA00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6.旗县区级政府是否由一位负责同志统一分管医疗、医保、医药工作</w:t>
            </w:r>
          </w:p>
        </w:tc>
        <w:tc>
          <w:tcPr>
            <w:tcW w:w="1601" w:type="dxa"/>
            <w:tcBorders>
              <w:top w:val="single" w:color="auto" w:sz="4" w:space="0"/>
              <w:left w:val="single" w:color="auto" w:sz="4" w:space="0"/>
              <w:bottom w:val="single" w:color="auto" w:sz="4" w:space="0"/>
              <w:right w:val="single" w:color="auto" w:sz="4" w:space="0"/>
            </w:tcBorders>
            <w:noWrap w:val="0"/>
            <w:vAlign w:val="center"/>
          </w:tcPr>
          <w:p w14:paraId="564F94F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lang w:val="en-US" w:eastAsia="zh-CN"/>
              </w:rPr>
            </w:pPr>
            <w:r>
              <w:rPr>
                <w:rFonts w:hint="default" w:ascii="Times New Roman" w:hAnsi="Times New Roman" w:eastAsia="仿宋_GB2312" w:cs="Times New Roman"/>
                <w:i w:val="0"/>
                <w:iCs w:val="0"/>
                <w:color w:val="000000"/>
                <w:sz w:val="21"/>
                <w:szCs w:val="21"/>
                <w:highlight w:val="none"/>
                <w:u w:val="none"/>
                <w:lang w:val="en-US" w:eastAsia="zh-CN"/>
              </w:rPr>
              <w:t>是</w:t>
            </w:r>
          </w:p>
        </w:tc>
        <w:tc>
          <w:tcPr>
            <w:tcW w:w="1537" w:type="dxa"/>
            <w:tcBorders>
              <w:top w:val="single" w:color="auto" w:sz="4" w:space="0"/>
              <w:left w:val="single" w:color="auto" w:sz="4" w:space="0"/>
              <w:bottom w:val="single" w:color="auto" w:sz="4" w:space="0"/>
              <w:right w:val="single" w:color="auto" w:sz="4" w:space="0"/>
            </w:tcBorders>
            <w:noWrap w:val="0"/>
            <w:vAlign w:val="center"/>
          </w:tcPr>
          <w:p w14:paraId="5891EC2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lang w:val="en-US" w:eastAsia="zh-CN"/>
              </w:rPr>
            </w:pPr>
            <w:r>
              <w:rPr>
                <w:rFonts w:hint="default" w:ascii="Times New Roman" w:hAnsi="Times New Roman" w:eastAsia="仿宋_GB2312" w:cs="Times New Roman"/>
                <w:i w:val="0"/>
                <w:iCs w:val="0"/>
                <w:color w:val="000000"/>
                <w:sz w:val="21"/>
                <w:szCs w:val="21"/>
                <w:highlight w:val="none"/>
                <w:u w:val="none"/>
                <w:lang w:val="en-US" w:eastAsia="zh-CN"/>
              </w:rPr>
              <w:t>是</w:t>
            </w:r>
          </w:p>
        </w:tc>
      </w:tr>
      <w:tr w14:paraId="5362FA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jc w:val="center"/>
        </w:trPr>
        <w:tc>
          <w:tcPr>
            <w:tcW w:w="1080" w:type="dxa"/>
            <w:vMerge w:val="continue"/>
            <w:tcBorders>
              <w:left w:val="single" w:color="auto" w:sz="4" w:space="0"/>
              <w:right w:val="single" w:color="auto" w:sz="4" w:space="0"/>
            </w:tcBorders>
            <w:noWrap w:val="0"/>
            <w:vAlign w:val="center"/>
          </w:tcPr>
          <w:p w14:paraId="6ADFD6B4">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7317D692">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1178" w:type="dxa"/>
            <w:gridSpan w:val="2"/>
            <w:vMerge w:val="continue"/>
            <w:tcBorders>
              <w:left w:val="single" w:color="auto" w:sz="4" w:space="0"/>
              <w:right w:val="single" w:color="auto" w:sz="4" w:space="0"/>
            </w:tcBorders>
            <w:noWrap w:val="0"/>
            <w:vAlign w:val="center"/>
          </w:tcPr>
          <w:p w14:paraId="0DB35392">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3369" w:type="dxa"/>
            <w:gridSpan w:val="2"/>
            <w:tcBorders>
              <w:top w:val="single" w:color="auto" w:sz="4" w:space="0"/>
              <w:left w:val="single" w:color="auto" w:sz="4" w:space="0"/>
              <w:bottom w:val="single" w:color="auto" w:sz="4" w:space="0"/>
              <w:right w:val="single" w:color="auto" w:sz="4" w:space="0"/>
            </w:tcBorders>
            <w:noWrap w:val="0"/>
            <w:vAlign w:val="center"/>
          </w:tcPr>
          <w:p w14:paraId="719CCCC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7.实行党委领导下的院长负责制的公立医院比例</w:t>
            </w:r>
          </w:p>
        </w:tc>
        <w:tc>
          <w:tcPr>
            <w:tcW w:w="1601" w:type="dxa"/>
            <w:tcBorders>
              <w:top w:val="single" w:color="auto" w:sz="4" w:space="0"/>
              <w:left w:val="single" w:color="auto" w:sz="4" w:space="0"/>
              <w:bottom w:val="single" w:color="auto" w:sz="4" w:space="0"/>
              <w:right w:val="single" w:color="auto" w:sz="4" w:space="0"/>
            </w:tcBorders>
            <w:noWrap w:val="0"/>
            <w:vAlign w:val="center"/>
          </w:tcPr>
          <w:p w14:paraId="17009AB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100%</w:t>
            </w:r>
          </w:p>
        </w:tc>
        <w:tc>
          <w:tcPr>
            <w:tcW w:w="1537" w:type="dxa"/>
            <w:tcBorders>
              <w:top w:val="single" w:color="auto" w:sz="4" w:space="0"/>
              <w:left w:val="single" w:color="auto" w:sz="4" w:space="0"/>
              <w:bottom w:val="single" w:color="auto" w:sz="4" w:space="0"/>
              <w:right w:val="single" w:color="auto" w:sz="4" w:space="0"/>
            </w:tcBorders>
            <w:noWrap w:val="0"/>
            <w:vAlign w:val="center"/>
          </w:tcPr>
          <w:p w14:paraId="4977D1C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100%</w:t>
            </w:r>
          </w:p>
        </w:tc>
      </w:tr>
      <w:tr w14:paraId="0B65AA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080" w:type="dxa"/>
            <w:vMerge w:val="continue"/>
            <w:tcBorders>
              <w:left w:val="single" w:color="auto" w:sz="4" w:space="0"/>
              <w:right w:val="single" w:color="auto" w:sz="4" w:space="0"/>
            </w:tcBorders>
            <w:noWrap w:val="0"/>
            <w:vAlign w:val="center"/>
          </w:tcPr>
          <w:p w14:paraId="53F84CF3">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01A545B7">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1178" w:type="dxa"/>
            <w:gridSpan w:val="2"/>
            <w:vMerge w:val="continue"/>
            <w:tcBorders>
              <w:left w:val="single" w:color="auto" w:sz="4" w:space="0"/>
              <w:right w:val="single" w:color="auto" w:sz="4" w:space="0"/>
            </w:tcBorders>
            <w:noWrap w:val="0"/>
            <w:vAlign w:val="center"/>
          </w:tcPr>
          <w:p w14:paraId="2FF9DB56">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3369" w:type="dxa"/>
            <w:gridSpan w:val="2"/>
            <w:tcBorders>
              <w:top w:val="single" w:color="auto" w:sz="4" w:space="0"/>
              <w:left w:val="single" w:color="auto" w:sz="4" w:space="0"/>
              <w:bottom w:val="single" w:color="auto" w:sz="4" w:space="0"/>
              <w:right w:val="single" w:color="auto" w:sz="4" w:space="0"/>
            </w:tcBorders>
            <w:noWrap w:val="0"/>
            <w:vAlign w:val="center"/>
          </w:tcPr>
          <w:p w14:paraId="5D574D4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8.参与同级检查结果互认的公立医院占比</w:t>
            </w:r>
          </w:p>
        </w:tc>
        <w:tc>
          <w:tcPr>
            <w:tcW w:w="1601" w:type="dxa"/>
            <w:tcBorders>
              <w:top w:val="single" w:color="auto" w:sz="4" w:space="0"/>
              <w:left w:val="single" w:color="auto" w:sz="4" w:space="0"/>
              <w:bottom w:val="single" w:color="auto" w:sz="4" w:space="0"/>
              <w:right w:val="single" w:color="auto" w:sz="4" w:space="0"/>
            </w:tcBorders>
            <w:noWrap w:val="0"/>
            <w:vAlign w:val="center"/>
          </w:tcPr>
          <w:p w14:paraId="236537A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100%</w:t>
            </w:r>
          </w:p>
        </w:tc>
        <w:tc>
          <w:tcPr>
            <w:tcW w:w="1537" w:type="dxa"/>
            <w:tcBorders>
              <w:top w:val="single" w:color="auto" w:sz="4" w:space="0"/>
              <w:left w:val="single" w:color="auto" w:sz="4" w:space="0"/>
              <w:bottom w:val="single" w:color="auto" w:sz="4" w:space="0"/>
              <w:right w:val="single" w:color="auto" w:sz="4" w:space="0"/>
            </w:tcBorders>
            <w:noWrap w:val="0"/>
            <w:vAlign w:val="center"/>
          </w:tcPr>
          <w:p w14:paraId="33976A7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100%</w:t>
            </w:r>
          </w:p>
        </w:tc>
      </w:tr>
      <w:tr w14:paraId="5963AA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7" w:hRule="atLeast"/>
          <w:jc w:val="center"/>
        </w:trPr>
        <w:tc>
          <w:tcPr>
            <w:tcW w:w="1080" w:type="dxa"/>
            <w:vMerge w:val="continue"/>
            <w:tcBorders>
              <w:left w:val="single" w:color="auto" w:sz="4" w:space="0"/>
              <w:right w:val="single" w:color="auto" w:sz="4" w:space="0"/>
            </w:tcBorders>
            <w:noWrap w:val="0"/>
            <w:vAlign w:val="center"/>
          </w:tcPr>
          <w:p w14:paraId="30FD68AF">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3A082D2A">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1178" w:type="dxa"/>
            <w:gridSpan w:val="2"/>
            <w:vMerge w:val="continue"/>
            <w:tcBorders>
              <w:left w:val="single" w:color="auto" w:sz="4" w:space="0"/>
              <w:right w:val="single" w:color="auto" w:sz="4" w:space="0"/>
            </w:tcBorders>
            <w:noWrap w:val="0"/>
            <w:vAlign w:val="center"/>
          </w:tcPr>
          <w:p w14:paraId="14C10503">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3369" w:type="dxa"/>
            <w:gridSpan w:val="2"/>
            <w:tcBorders>
              <w:top w:val="single" w:color="auto" w:sz="4" w:space="0"/>
              <w:left w:val="single" w:color="auto" w:sz="4" w:space="0"/>
              <w:bottom w:val="single" w:color="auto" w:sz="4" w:space="0"/>
              <w:right w:val="single" w:color="auto" w:sz="4" w:space="0"/>
            </w:tcBorders>
            <w:noWrap w:val="0"/>
            <w:vAlign w:val="center"/>
          </w:tcPr>
          <w:p w14:paraId="01E32E6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9.公立医院医疗服务收入（不含药品、耗材、检查、化验收入）占医疗收入的比例</w:t>
            </w:r>
          </w:p>
        </w:tc>
        <w:tc>
          <w:tcPr>
            <w:tcW w:w="1601" w:type="dxa"/>
            <w:tcBorders>
              <w:top w:val="single" w:color="auto" w:sz="4" w:space="0"/>
              <w:left w:val="single" w:color="auto" w:sz="4" w:space="0"/>
              <w:bottom w:val="single" w:color="auto" w:sz="4" w:space="0"/>
              <w:right w:val="single" w:color="auto" w:sz="4" w:space="0"/>
            </w:tcBorders>
            <w:noWrap w:val="0"/>
            <w:vAlign w:val="center"/>
          </w:tcPr>
          <w:p w14:paraId="3A18D5E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38%</w:t>
            </w:r>
          </w:p>
        </w:tc>
        <w:tc>
          <w:tcPr>
            <w:tcW w:w="1537" w:type="dxa"/>
            <w:tcBorders>
              <w:top w:val="single" w:color="auto" w:sz="4" w:space="0"/>
              <w:left w:val="single" w:color="auto" w:sz="4" w:space="0"/>
              <w:bottom w:val="single" w:color="auto" w:sz="4" w:space="0"/>
              <w:right w:val="single" w:color="auto" w:sz="4" w:space="0"/>
            </w:tcBorders>
            <w:noWrap w:val="0"/>
            <w:vAlign w:val="center"/>
          </w:tcPr>
          <w:p w14:paraId="1C91FF9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39%</w:t>
            </w:r>
          </w:p>
        </w:tc>
      </w:tr>
      <w:tr w14:paraId="0B20B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2" w:hRule="atLeast"/>
          <w:jc w:val="center"/>
        </w:trPr>
        <w:tc>
          <w:tcPr>
            <w:tcW w:w="1080" w:type="dxa"/>
            <w:vMerge w:val="continue"/>
            <w:tcBorders>
              <w:left w:val="single" w:color="auto" w:sz="4" w:space="0"/>
              <w:right w:val="single" w:color="auto" w:sz="4" w:space="0"/>
            </w:tcBorders>
            <w:noWrap w:val="0"/>
            <w:vAlign w:val="center"/>
          </w:tcPr>
          <w:p w14:paraId="6E86896C">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5BEA64ED">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1178" w:type="dxa"/>
            <w:gridSpan w:val="2"/>
            <w:vMerge w:val="continue"/>
            <w:tcBorders>
              <w:left w:val="single" w:color="auto" w:sz="4" w:space="0"/>
              <w:right w:val="single" w:color="auto" w:sz="4" w:space="0"/>
            </w:tcBorders>
            <w:noWrap w:val="0"/>
            <w:vAlign w:val="center"/>
          </w:tcPr>
          <w:p w14:paraId="523857B2">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3369" w:type="dxa"/>
            <w:gridSpan w:val="2"/>
            <w:tcBorders>
              <w:top w:val="single" w:color="auto" w:sz="4" w:space="0"/>
              <w:left w:val="single" w:color="auto" w:sz="4" w:space="0"/>
              <w:bottom w:val="single" w:color="auto" w:sz="4" w:space="0"/>
              <w:right w:val="single" w:color="auto" w:sz="4" w:space="0"/>
            </w:tcBorders>
            <w:noWrap w:val="0"/>
            <w:vAlign w:val="center"/>
          </w:tcPr>
          <w:p w14:paraId="244AE9B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10.公立医院人员薪酬中稳定收入所占的比例</w:t>
            </w:r>
          </w:p>
        </w:tc>
        <w:tc>
          <w:tcPr>
            <w:tcW w:w="1601" w:type="dxa"/>
            <w:tcBorders>
              <w:top w:val="single" w:color="auto" w:sz="4" w:space="0"/>
              <w:left w:val="single" w:color="auto" w:sz="4" w:space="0"/>
              <w:bottom w:val="single" w:color="auto" w:sz="4" w:space="0"/>
              <w:right w:val="single" w:color="auto" w:sz="4" w:space="0"/>
            </w:tcBorders>
            <w:noWrap w:val="0"/>
            <w:vAlign w:val="center"/>
          </w:tcPr>
          <w:p w14:paraId="692AE01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90%</w:t>
            </w:r>
          </w:p>
        </w:tc>
        <w:tc>
          <w:tcPr>
            <w:tcW w:w="1537" w:type="dxa"/>
            <w:tcBorders>
              <w:top w:val="single" w:color="auto" w:sz="4" w:space="0"/>
              <w:left w:val="single" w:color="auto" w:sz="4" w:space="0"/>
              <w:bottom w:val="single" w:color="auto" w:sz="4" w:space="0"/>
              <w:right w:val="single" w:color="auto" w:sz="4" w:space="0"/>
            </w:tcBorders>
            <w:noWrap w:val="0"/>
            <w:vAlign w:val="center"/>
          </w:tcPr>
          <w:p w14:paraId="7855D0C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90%</w:t>
            </w:r>
          </w:p>
        </w:tc>
      </w:tr>
      <w:tr w14:paraId="1AEACD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2" w:hRule="atLeast"/>
          <w:jc w:val="center"/>
        </w:trPr>
        <w:tc>
          <w:tcPr>
            <w:tcW w:w="1080" w:type="dxa"/>
            <w:vMerge w:val="continue"/>
            <w:tcBorders>
              <w:left w:val="single" w:color="auto" w:sz="4" w:space="0"/>
              <w:right w:val="single" w:color="auto" w:sz="4" w:space="0"/>
            </w:tcBorders>
            <w:noWrap w:val="0"/>
            <w:vAlign w:val="center"/>
          </w:tcPr>
          <w:p w14:paraId="62CC1E44">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3BD50816">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1178" w:type="dxa"/>
            <w:gridSpan w:val="2"/>
            <w:vMerge w:val="continue"/>
            <w:tcBorders>
              <w:left w:val="single" w:color="auto" w:sz="4" w:space="0"/>
              <w:bottom w:val="single" w:color="auto" w:sz="4" w:space="0"/>
              <w:right w:val="single" w:color="auto" w:sz="4" w:space="0"/>
            </w:tcBorders>
            <w:noWrap w:val="0"/>
            <w:vAlign w:val="center"/>
          </w:tcPr>
          <w:p w14:paraId="22AC2CF8">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3369" w:type="dxa"/>
            <w:gridSpan w:val="2"/>
            <w:tcBorders>
              <w:top w:val="single" w:color="auto" w:sz="4" w:space="0"/>
              <w:left w:val="single" w:color="auto" w:sz="4" w:space="0"/>
              <w:bottom w:val="single" w:color="auto" w:sz="4" w:space="0"/>
              <w:right w:val="single" w:color="auto" w:sz="4" w:space="0"/>
            </w:tcBorders>
            <w:noWrap w:val="0"/>
            <w:vAlign w:val="center"/>
          </w:tcPr>
          <w:p w14:paraId="2D788B1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highlight w:val="none"/>
                <w:u w:val="none"/>
                <w:lang w:val="en-US" w:eastAsia="zh-CN" w:bidi="ar"/>
              </w:rPr>
              <w:t>11.公立医院人员费用占费用总额的比例（%）</w:t>
            </w:r>
          </w:p>
        </w:tc>
        <w:tc>
          <w:tcPr>
            <w:tcW w:w="1601" w:type="dxa"/>
            <w:tcBorders>
              <w:top w:val="single" w:color="auto" w:sz="4" w:space="0"/>
              <w:left w:val="single" w:color="auto" w:sz="4" w:space="0"/>
              <w:bottom w:val="single" w:color="auto" w:sz="4" w:space="0"/>
              <w:right w:val="single" w:color="auto" w:sz="4" w:space="0"/>
            </w:tcBorders>
            <w:noWrap w:val="0"/>
            <w:vAlign w:val="center"/>
          </w:tcPr>
          <w:p w14:paraId="74A033D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仿宋_GB2312" w:cs="Times New Roman"/>
                <w:i w:val="0"/>
                <w:iCs w:val="0"/>
                <w:color w:val="000000"/>
                <w:kern w:val="2"/>
                <w:sz w:val="21"/>
                <w:szCs w:val="21"/>
                <w:highlight w:val="none"/>
                <w:u w:val="none"/>
                <w:lang w:val="en-US" w:eastAsia="zh-CN" w:bidi="ar-SA"/>
              </w:rPr>
            </w:pPr>
            <w:r>
              <w:rPr>
                <w:rFonts w:hint="default" w:ascii="Times New Roman" w:hAnsi="Times New Roman" w:eastAsia="仿宋_GB2312" w:cs="Times New Roman"/>
                <w:i w:val="0"/>
                <w:iCs w:val="0"/>
                <w:color w:val="000000"/>
                <w:kern w:val="0"/>
                <w:sz w:val="21"/>
                <w:szCs w:val="21"/>
                <w:highlight w:val="none"/>
                <w:u w:val="none"/>
                <w:lang w:val="en-US" w:eastAsia="zh-CN" w:bidi="ar"/>
              </w:rPr>
              <w:t>54%</w:t>
            </w:r>
          </w:p>
        </w:tc>
        <w:tc>
          <w:tcPr>
            <w:tcW w:w="1537" w:type="dxa"/>
            <w:tcBorders>
              <w:top w:val="single" w:color="auto" w:sz="4" w:space="0"/>
              <w:left w:val="single" w:color="auto" w:sz="4" w:space="0"/>
              <w:bottom w:val="single" w:color="auto" w:sz="4" w:space="0"/>
              <w:right w:val="single" w:color="auto" w:sz="4" w:space="0"/>
            </w:tcBorders>
            <w:noWrap w:val="0"/>
            <w:vAlign w:val="center"/>
          </w:tcPr>
          <w:p w14:paraId="272D15A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仿宋_GB2312" w:cs="Times New Roman"/>
                <w:i w:val="0"/>
                <w:iCs w:val="0"/>
                <w:color w:val="000000"/>
                <w:kern w:val="2"/>
                <w:sz w:val="21"/>
                <w:szCs w:val="21"/>
                <w:highlight w:val="none"/>
                <w:u w:val="none"/>
                <w:lang w:val="en-US" w:eastAsia="zh-CN" w:bidi="ar-SA"/>
              </w:rPr>
            </w:pPr>
            <w:r>
              <w:rPr>
                <w:rFonts w:hint="default" w:ascii="Times New Roman" w:hAnsi="Times New Roman" w:eastAsia="仿宋_GB2312" w:cs="Times New Roman"/>
                <w:i w:val="0"/>
                <w:iCs w:val="0"/>
                <w:color w:val="000000"/>
                <w:kern w:val="0"/>
                <w:sz w:val="21"/>
                <w:szCs w:val="21"/>
                <w:highlight w:val="none"/>
                <w:u w:val="none"/>
                <w:lang w:val="en-US" w:eastAsia="zh-CN" w:bidi="ar"/>
              </w:rPr>
              <w:t>54%</w:t>
            </w:r>
          </w:p>
        </w:tc>
      </w:tr>
      <w:tr w14:paraId="7F43FD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9" w:hRule="atLeast"/>
          <w:jc w:val="center"/>
        </w:trPr>
        <w:tc>
          <w:tcPr>
            <w:tcW w:w="1080" w:type="dxa"/>
            <w:vMerge w:val="continue"/>
            <w:tcBorders>
              <w:left w:val="single" w:color="auto" w:sz="4" w:space="0"/>
              <w:right w:val="single" w:color="auto" w:sz="4" w:space="0"/>
            </w:tcBorders>
            <w:noWrap w:val="0"/>
            <w:vAlign w:val="center"/>
          </w:tcPr>
          <w:p w14:paraId="19C6C870">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14:paraId="6696168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效益指标</w:t>
            </w:r>
          </w:p>
        </w:tc>
        <w:tc>
          <w:tcPr>
            <w:tcW w:w="1178" w:type="dxa"/>
            <w:gridSpan w:val="2"/>
            <w:vMerge w:val="restart"/>
            <w:tcBorders>
              <w:top w:val="single" w:color="auto" w:sz="4" w:space="0"/>
              <w:left w:val="single" w:color="auto" w:sz="4" w:space="0"/>
              <w:right w:val="single" w:color="auto" w:sz="4" w:space="0"/>
            </w:tcBorders>
            <w:noWrap w:val="0"/>
            <w:vAlign w:val="center"/>
          </w:tcPr>
          <w:p w14:paraId="4F928D2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社会效益指标</w:t>
            </w:r>
          </w:p>
        </w:tc>
        <w:tc>
          <w:tcPr>
            <w:tcW w:w="3369" w:type="dxa"/>
            <w:gridSpan w:val="2"/>
            <w:tcBorders>
              <w:top w:val="single" w:color="auto" w:sz="4" w:space="0"/>
              <w:left w:val="single" w:color="auto" w:sz="4" w:space="0"/>
              <w:right w:val="single" w:color="auto" w:sz="4" w:space="0"/>
            </w:tcBorders>
            <w:noWrap w:val="0"/>
            <w:vAlign w:val="center"/>
          </w:tcPr>
          <w:p w14:paraId="3DAC778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12.县域内住院量占总住院量的比例</w:t>
            </w:r>
          </w:p>
        </w:tc>
        <w:tc>
          <w:tcPr>
            <w:tcW w:w="1601" w:type="dxa"/>
            <w:tcBorders>
              <w:top w:val="single" w:color="auto" w:sz="4" w:space="0"/>
              <w:left w:val="single" w:color="auto" w:sz="4" w:space="0"/>
              <w:right w:val="single" w:color="auto" w:sz="4" w:space="0"/>
            </w:tcBorders>
            <w:noWrap w:val="0"/>
            <w:vAlign w:val="center"/>
          </w:tcPr>
          <w:p w14:paraId="2C63FAC9">
            <w:pPr>
              <w:keepNext w:val="0"/>
              <w:keepLines w:val="0"/>
              <w:pageBreakBefore w:val="0"/>
              <w:suppressLineNumbers w:val="0"/>
              <w:kinsoku/>
              <w:wordWrap/>
              <w:topLinePunct w:val="0"/>
              <w:autoSpaceDE/>
              <w:autoSpaceDN/>
              <w:bidi w:val="0"/>
              <w:adjustRightInd/>
              <w:snapToGrid/>
              <w:spacing w:before="0" w:beforeAutospacing="0" w:after="0" w:afterAutospacing="0" w:line="500" w:lineRule="exact"/>
              <w:ind w:left="0" w:leftChars="0" w:right="0" w:rightChars="0"/>
              <w:jc w:val="center"/>
              <w:rPr>
                <w:rFonts w:hint="default" w:ascii="Times New Roman" w:hAnsi="Times New Roman" w:eastAsia="仿宋_GB2312" w:cs="Times New Roman"/>
                <w:i w:val="0"/>
                <w:iCs w:val="0"/>
                <w:color w:val="0000FF"/>
                <w:sz w:val="21"/>
                <w:szCs w:val="21"/>
                <w:highlight w:val="none"/>
                <w:u w:val="none"/>
                <w:lang w:val="en-US"/>
              </w:rPr>
            </w:pPr>
            <w:r>
              <w:rPr>
                <w:rFonts w:hint="default" w:ascii="Times New Roman" w:hAnsi="Times New Roman" w:eastAsia="仿宋_GB2312" w:cs="Times New Roman"/>
                <w:i w:val="0"/>
                <w:iCs w:val="0"/>
                <w:color w:val="000000"/>
                <w:sz w:val="21"/>
                <w:szCs w:val="21"/>
                <w:highlight w:val="none"/>
                <w:u w:val="none"/>
                <w:lang w:val="en-US" w:eastAsia="zh-CN"/>
              </w:rPr>
              <w:t>逐年提高</w:t>
            </w:r>
          </w:p>
        </w:tc>
        <w:tc>
          <w:tcPr>
            <w:tcW w:w="1537" w:type="dxa"/>
            <w:tcBorders>
              <w:top w:val="single" w:color="auto" w:sz="4" w:space="0"/>
              <w:left w:val="single" w:color="auto" w:sz="4" w:space="0"/>
              <w:bottom w:val="single" w:color="auto" w:sz="4" w:space="0"/>
              <w:right w:val="single" w:color="auto" w:sz="4" w:space="0"/>
            </w:tcBorders>
            <w:noWrap w:val="0"/>
            <w:vAlign w:val="center"/>
          </w:tcPr>
          <w:p w14:paraId="5FE773F0">
            <w:pPr>
              <w:keepNext w:val="0"/>
              <w:keepLines w:val="0"/>
              <w:pageBreakBefore w:val="0"/>
              <w:suppressLineNumbers w:val="0"/>
              <w:kinsoku/>
              <w:wordWrap/>
              <w:topLinePunct w:val="0"/>
              <w:autoSpaceDE/>
              <w:autoSpaceDN/>
              <w:bidi w:val="0"/>
              <w:adjustRightInd/>
              <w:snapToGrid/>
              <w:spacing w:before="0" w:beforeAutospacing="0" w:after="0" w:afterAutospacing="0" w:line="500" w:lineRule="exact"/>
              <w:ind w:left="0" w:leftChars="0" w:right="0" w:rightChars="0"/>
              <w:jc w:val="center"/>
              <w:rPr>
                <w:rFonts w:hint="default" w:ascii="Times New Roman" w:hAnsi="Times New Roman" w:eastAsia="仿宋_GB2312" w:cs="Times New Roman"/>
                <w:i w:val="0"/>
                <w:iCs w:val="0"/>
                <w:color w:val="0000FF"/>
                <w:sz w:val="21"/>
                <w:szCs w:val="21"/>
                <w:highlight w:val="none"/>
                <w:u w:val="none"/>
                <w:lang w:val="en-US"/>
              </w:rPr>
            </w:pPr>
            <w:r>
              <w:rPr>
                <w:rFonts w:hint="default" w:ascii="Times New Roman" w:hAnsi="Times New Roman" w:eastAsia="仿宋_GB2312" w:cs="Times New Roman"/>
                <w:i w:val="0"/>
                <w:iCs w:val="0"/>
                <w:color w:val="000000"/>
                <w:sz w:val="21"/>
                <w:szCs w:val="21"/>
                <w:highlight w:val="none"/>
                <w:u w:val="none"/>
                <w:lang w:val="en-US" w:eastAsia="zh-CN"/>
              </w:rPr>
              <w:t>逐年提高</w:t>
            </w:r>
          </w:p>
        </w:tc>
      </w:tr>
      <w:tr w14:paraId="47C8A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jc w:val="center"/>
        </w:trPr>
        <w:tc>
          <w:tcPr>
            <w:tcW w:w="1080" w:type="dxa"/>
            <w:vMerge w:val="continue"/>
            <w:tcBorders>
              <w:left w:val="single" w:color="auto" w:sz="4" w:space="0"/>
              <w:right w:val="single" w:color="auto" w:sz="4" w:space="0"/>
            </w:tcBorders>
            <w:noWrap w:val="0"/>
            <w:vAlign w:val="center"/>
          </w:tcPr>
          <w:p w14:paraId="17A7F81D">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78B7C5AC">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1178" w:type="dxa"/>
            <w:gridSpan w:val="2"/>
            <w:vMerge w:val="continue"/>
            <w:tcBorders>
              <w:left w:val="single" w:color="auto" w:sz="4" w:space="0"/>
              <w:right w:val="single" w:color="auto" w:sz="4" w:space="0"/>
            </w:tcBorders>
            <w:noWrap w:val="0"/>
            <w:vAlign w:val="center"/>
          </w:tcPr>
          <w:p w14:paraId="4109AA08">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3369" w:type="dxa"/>
            <w:gridSpan w:val="2"/>
            <w:tcBorders>
              <w:top w:val="single" w:color="auto" w:sz="4" w:space="0"/>
              <w:left w:val="single" w:color="auto" w:sz="4" w:space="0"/>
              <w:bottom w:val="single" w:color="auto" w:sz="4" w:space="0"/>
              <w:right w:val="single" w:color="auto" w:sz="4" w:space="0"/>
            </w:tcBorders>
            <w:noWrap w:val="0"/>
            <w:vAlign w:val="center"/>
          </w:tcPr>
          <w:p w14:paraId="7BE5E58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13.基层医疗卫生机构诊疗量占总诊疗量的比例</w:t>
            </w:r>
          </w:p>
        </w:tc>
        <w:tc>
          <w:tcPr>
            <w:tcW w:w="1601" w:type="dxa"/>
            <w:tcBorders>
              <w:top w:val="single" w:color="auto" w:sz="4" w:space="0"/>
              <w:left w:val="single" w:color="auto" w:sz="4" w:space="0"/>
              <w:bottom w:val="single" w:color="auto" w:sz="4" w:space="0"/>
              <w:right w:val="single" w:color="auto" w:sz="4" w:space="0"/>
            </w:tcBorders>
            <w:noWrap w:val="0"/>
            <w:vAlign w:val="center"/>
          </w:tcPr>
          <w:p w14:paraId="15F82FB6">
            <w:pPr>
              <w:keepNext w:val="0"/>
              <w:keepLines w:val="0"/>
              <w:pageBreakBefore w:val="0"/>
              <w:suppressLineNumbers w:val="0"/>
              <w:kinsoku/>
              <w:wordWrap/>
              <w:topLinePunct w:val="0"/>
              <w:autoSpaceDE/>
              <w:autoSpaceDN/>
              <w:bidi w:val="0"/>
              <w:adjustRightInd/>
              <w:snapToGrid/>
              <w:spacing w:before="0" w:beforeAutospacing="0" w:after="0" w:afterAutospacing="0" w:line="500" w:lineRule="exact"/>
              <w:ind w:left="0" w:leftChars="0" w:right="0" w:rightChars="0"/>
              <w:jc w:val="center"/>
              <w:rPr>
                <w:rFonts w:hint="default" w:ascii="Times New Roman" w:hAnsi="Times New Roman" w:eastAsia="仿宋_GB2312" w:cs="Times New Roman"/>
                <w:i w:val="0"/>
                <w:iCs w:val="0"/>
                <w:color w:val="0000FF"/>
                <w:sz w:val="21"/>
                <w:szCs w:val="21"/>
                <w:highlight w:val="none"/>
                <w:u w:val="none"/>
              </w:rPr>
            </w:pPr>
            <w:r>
              <w:rPr>
                <w:rFonts w:hint="default" w:ascii="Times New Roman" w:hAnsi="Times New Roman" w:eastAsia="仿宋_GB2312" w:cs="Times New Roman"/>
                <w:i w:val="0"/>
                <w:iCs w:val="0"/>
                <w:color w:val="000000"/>
                <w:sz w:val="21"/>
                <w:szCs w:val="21"/>
                <w:highlight w:val="none"/>
                <w:u w:val="none"/>
                <w:lang w:val="en-US" w:eastAsia="zh-CN"/>
              </w:rPr>
              <w:t>逐年提高</w:t>
            </w:r>
          </w:p>
        </w:tc>
        <w:tc>
          <w:tcPr>
            <w:tcW w:w="1537" w:type="dxa"/>
            <w:tcBorders>
              <w:top w:val="single" w:color="auto" w:sz="4" w:space="0"/>
              <w:left w:val="single" w:color="auto" w:sz="4" w:space="0"/>
              <w:bottom w:val="single" w:color="auto" w:sz="4" w:space="0"/>
              <w:right w:val="single" w:color="auto" w:sz="4" w:space="0"/>
            </w:tcBorders>
            <w:noWrap w:val="0"/>
            <w:vAlign w:val="center"/>
          </w:tcPr>
          <w:p w14:paraId="579E7864">
            <w:pPr>
              <w:keepNext w:val="0"/>
              <w:keepLines w:val="0"/>
              <w:pageBreakBefore w:val="0"/>
              <w:suppressLineNumbers w:val="0"/>
              <w:kinsoku/>
              <w:wordWrap/>
              <w:topLinePunct w:val="0"/>
              <w:autoSpaceDE/>
              <w:autoSpaceDN/>
              <w:bidi w:val="0"/>
              <w:adjustRightInd/>
              <w:snapToGrid/>
              <w:spacing w:before="0" w:beforeAutospacing="0" w:after="0" w:afterAutospacing="0" w:line="500" w:lineRule="exact"/>
              <w:ind w:left="0" w:leftChars="0" w:right="0" w:rightChars="0"/>
              <w:jc w:val="center"/>
              <w:rPr>
                <w:rFonts w:hint="default" w:ascii="Times New Roman" w:hAnsi="Times New Roman" w:eastAsia="仿宋_GB2312" w:cs="Times New Roman"/>
                <w:i w:val="0"/>
                <w:iCs w:val="0"/>
                <w:color w:val="0000FF"/>
                <w:sz w:val="21"/>
                <w:szCs w:val="21"/>
                <w:highlight w:val="none"/>
                <w:u w:val="none"/>
              </w:rPr>
            </w:pPr>
            <w:r>
              <w:rPr>
                <w:rFonts w:hint="default" w:ascii="Times New Roman" w:hAnsi="Times New Roman" w:eastAsia="仿宋_GB2312" w:cs="Times New Roman"/>
                <w:i w:val="0"/>
                <w:iCs w:val="0"/>
                <w:color w:val="000000"/>
                <w:sz w:val="21"/>
                <w:szCs w:val="21"/>
                <w:highlight w:val="none"/>
                <w:u w:val="none"/>
                <w:lang w:val="en-US" w:eastAsia="zh-CN"/>
              </w:rPr>
              <w:t>逐年提高</w:t>
            </w:r>
          </w:p>
        </w:tc>
      </w:tr>
      <w:tr w14:paraId="6C56CC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7" w:hRule="atLeast"/>
          <w:jc w:val="center"/>
        </w:trPr>
        <w:tc>
          <w:tcPr>
            <w:tcW w:w="1080" w:type="dxa"/>
            <w:vMerge w:val="continue"/>
            <w:tcBorders>
              <w:left w:val="single" w:color="auto" w:sz="4" w:space="0"/>
              <w:right w:val="single" w:color="auto" w:sz="4" w:space="0"/>
            </w:tcBorders>
            <w:noWrap w:val="0"/>
            <w:vAlign w:val="center"/>
          </w:tcPr>
          <w:p w14:paraId="6680588B">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7B736712">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1178" w:type="dxa"/>
            <w:gridSpan w:val="2"/>
            <w:vMerge w:val="continue"/>
            <w:tcBorders>
              <w:left w:val="single" w:color="auto" w:sz="4" w:space="0"/>
              <w:right w:val="single" w:color="auto" w:sz="4" w:space="0"/>
            </w:tcBorders>
            <w:noWrap w:val="0"/>
            <w:vAlign w:val="center"/>
          </w:tcPr>
          <w:p w14:paraId="1F47F908">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3369" w:type="dxa"/>
            <w:gridSpan w:val="2"/>
            <w:tcBorders>
              <w:top w:val="single" w:color="auto" w:sz="4" w:space="0"/>
              <w:left w:val="single" w:color="auto" w:sz="4" w:space="0"/>
              <w:bottom w:val="single" w:color="auto" w:sz="4" w:space="0"/>
              <w:right w:val="single" w:color="auto" w:sz="4" w:space="0"/>
            </w:tcBorders>
            <w:noWrap w:val="0"/>
            <w:vAlign w:val="center"/>
          </w:tcPr>
          <w:p w14:paraId="5B9668D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i w:val="0"/>
                <w:iCs w:val="0"/>
                <w:color w:val="000000"/>
                <w:sz w:val="21"/>
                <w:szCs w:val="21"/>
                <w:highlight w:val="none"/>
                <w:u w:val="none"/>
                <w:lang w:val="en-US" w:eastAsia="zh-CN"/>
              </w:rPr>
            </w:pPr>
            <w:r>
              <w:rPr>
                <w:rFonts w:hint="default" w:ascii="Times New Roman" w:hAnsi="Times New Roman" w:eastAsia="仿宋_GB2312" w:cs="Times New Roman"/>
                <w:i w:val="0"/>
                <w:iCs w:val="0"/>
                <w:color w:val="000000"/>
                <w:sz w:val="21"/>
                <w:szCs w:val="21"/>
                <w:highlight w:val="none"/>
                <w:u w:val="none"/>
                <w:lang w:val="en-US" w:eastAsia="zh-CN"/>
              </w:rPr>
              <w:t>14.提供中医药（蒙医药）服务的基层医疗卫生机构占比（%）</w:t>
            </w:r>
          </w:p>
        </w:tc>
        <w:tc>
          <w:tcPr>
            <w:tcW w:w="1601" w:type="dxa"/>
            <w:tcBorders>
              <w:top w:val="single" w:color="auto" w:sz="4" w:space="0"/>
              <w:left w:val="single" w:color="auto" w:sz="4" w:space="0"/>
              <w:bottom w:val="single" w:color="auto" w:sz="4" w:space="0"/>
              <w:right w:val="single" w:color="auto" w:sz="4" w:space="0"/>
            </w:tcBorders>
            <w:noWrap w:val="0"/>
            <w:vAlign w:val="center"/>
          </w:tcPr>
          <w:p w14:paraId="5B4412D2">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lang w:val="en-US" w:eastAsia="zh-CN"/>
              </w:rPr>
            </w:pPr>
            <w:r>
              <w:rPr>
                <w:rFonts w:hint="default" w:ascii="Times New Roman" w:hAnsi="Times New Roman" w:eastAsia="仿宋_GB2312" w:cs="Times New Roman"/>
                <w:i w:val="0"/>
                <w:iCs w:val="0"/>
                <w:color w:val="000000"/>
                <w:sz w:val="21"/>
                <w:szCs w:val="21"/>
                <w:highlight w:val="none"/>
                <w:u w:val="none"/>
                <w:lang w:val="en-US" w:eastAsia="zh-CN"/>
              </w:rPr>
              <w:t>100%</w:t>
            </w:r>
          </w:p>
        </w:tc>
        <w:tc>
          <w:tcPr>
            <w:tcW w:w="1537" w:type="dxa"/>
            <w:tcBorders>
              <w:top w:val="single" w:color="auto" w:sz="4" w:space="0"/>
              <w:left w:val="single" w:color="auto" w:sz="4" w:space="0"/>
              <w:bottom w:val="single" w:color="auto" w:sz="4" w:space="0"/>
              <w:right w:val="single" w:color="auto" w:sz="4" w:space="0"/>
            </w:tcBorders>
            <w:noWrap w:val="0"/>
            <w:vAlign w:val="center"/>
          </w:tcPr>
          <w:p w14:paraId="6C5483E6">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lang w:val="en-US" w:eastAsia="zh-CN"/>
              </w:rPr>
            </w:pPr>
            <w:r>
              <w:rPr>
                <w:rFonts w:hint="default" w:ascii="Times New Roman" w:hAnsi="Times New Roman" w:eastAsia="仿宋_GB2312" w:cs="Times New Roman"/>
                <w:i w:val="0"/>
                <w:iCs w:val="0"/>
                <w:color w:val="000000"/>
                <w:sz w:val="21"/>
                <w:szCs w:val="21"/>
                <w:highlight w:val="none"/>
                <w:u w:val="none"/>
                <w:lang w:val="en-US" w:eastAsia="zh-CN"/>
              </w:rPr>
              <w:t>100%</w:t>
            </w:r>
          </w:p>
        </w:tc>
      </w:tr>
      <w:tr w14:paraId="6EA28F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7" w:hRule="atLeast"/>
          <w:jc w:val="center"/>
        </w:trPr>
        <w:tc>
          <w:tcPr>
            <w:tcW w:w="1080" w:type="dxa"/>
            <w:vMerge w:val="continue"/>
            <w:tcBorders>
              <w:left w:val="single" w:color="auto" w:sz="4" w:space="0"/>
              <w:right w:val="single" w:color="auto" w:sz="4" w:space="0"/>
            </w:tcBorders>
            <w:noWrap w:val="0"/>
            <w:vAlign w:val="center"/>
          </w:tcPr>
          <w:p w14:paraId="257833D6">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35F8F730">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1178" w:type="dxa"/>
            <w:gridSpan w:val="2"/>
            <w:vMerge w:val="continue"/>
            <w:tcBorders>
              <w:left w:val="single" w:color="auto" w:sz="4" w:space="0"/>
              <w:right w:val="single" w:color="auto" w:sz="4" w:space="0"/>
            </w:tcBorders>
            <w:noWrap w:val="0"/>
            <w:vAlign w:val="center"/>
          </w:tcPr>
          <w:p w14:paraId="54F63458">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3369" w:type="dxa"/>
            <w:gridSpan w:val="2"/>
            <w:tcBorders>
              <w:top w:val="single" w:color="auto" w:sz="4" w:space="0"/>
              <w:left w:val="single" w:color="auto" w:sz="4" w:space="0"/>
              <w:bottom w:val="single" w:color="auto" w:sz="4" w:space="0"/>
              <w:right w:val="single" w:color="auto" w:sz="4" w:space="0"/>
            </w:tcBorders>
            <w:noWrap w:val="0"/>
            <w:vAlign w:val="center"/>
          </w:tcPr>
          <w:p w14:paraId="49C3F3E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i w:val="0"/>
                <w:iCs w:val="0"/>
                <w:color w:val="000000"/>
                <w:sz w:val="21"/>
                <w:szCs w:val="21"/>
                <w:highlight w:val="none"/>
                <w:u w:val="none"/>
                <w:lang w:val="en-US" w:eastAsia="zh-CN"/>
              </w:rPr>
            </w:pPr>
            <w:r>
              <w:rPr>
                <w:rFonts w:hint="default" w:ascii="Times New Roman" w:hAnsi="Times New Roman" w:eastAsia="仿宋_GB2312" w:cs="Times New Roman"/>
                <w:i w:val="0"/>
                <w:iCs w:val="0"/>
                <w:color w:val="000000"/>
                <w:sz w:val="21"/>
                <w:szCs w:val="21"/>
                <w:highlight w:val="none"/>
                <w:u w:val="none"/>
                <w:lang w:val="en-US" w:eastAsia="zh-CN"/>
              </w:rPr>
              <w:t>15.重点人群家庭医生签约服务覆盖率（%）</w:t>
            </w:r>
          </w:p>
        </w:tc>
        <w:tc>
          <w:tcPr>
            <w:tcW w:w="1601" w:type="dxa"/>
            <w:tcBorders>
              <w:top w:val="single" w:color="auto" w:sz="4" w:space="0"/>
              <w:left w:val="single" w:color="auto" w:sz="4" w:space="0"/>
              <w:bottom w:val="single" w:color="auto" w:sz="4" w:space="0"/>
              <w:right w:val="single" w:color="auto" w:sz="4" w:space="0"/>
            </w:tcBorders>
            <w:noWrap w:val="0"/>
            <w:vAlign w:val="center"/>
          </w:tcPr>
          <w:p w14:paraId="2BBA974F">
            <w:pPr>
              <w:keepNext w:val="0"/>
              <w:keepLines w:val="0"/>
              <w:pageBreakBefore w:val="0"/>
              <w:suppressLineNumbers w:val="0"/>
              <w:kinsoku/>
              <w:wordWrap/>
              <w:topLinePunct w:val="0"/>
              <w:autoSpaceDE/>
              <w:autoSpaceDN/>
              <w:bidi w:val="0"/>
              <w:adjustRightInd/>
              <w:snapToGrid/>
              <w:spacing w:before="0" w:beforeAutospacing="0" w:after="0" w:afterAutospacing="0" w:line="500" w:lineRule="exact"/>
              <w:ind w:left="0" w:leftChars="0" w:right="0" w:rightChars="0"/>
              <w:jc w:val="center"/>
              <w:rPr>
                <w:rFonts w:hint="default" w:ascii="Times New Roman" w:hAnsi="Times New Roman" w:eastAsia="仿宋_GB2312" w:cs="Times New Roman"/>
                <w:i w:val="0"/>
                <w:iCs w:val="0"/>
                <w:color w:val="000000"/>
                <w:sz w:val="21"/>
                <w:szCs w:val="21"/>
                <w:highlight w:val="none"/>
                <w:u w:val="none"/>
                <w:lang w:val="en-US" w:eastAsia="zh-CN"/>
              </w:rPr>
            </w:pPr>
            <w:r>
              <w:rPr>
                <w:rFonts w:hint="default" w:ascii="Times New Roman" w:hAnsi="Times New Roman" w:eastAsia="仿宋_GB2312" w:cs="Times New Roman"/>
                <w:i w:val="0"/>
                <w:iCs w:val="0"/>
                <w:color w:val="000000"/>
                <w:sz w:val="21"/>
                <w:szCs w:val="21"/>
                <w:highlight w:val="none"/>
                <w:u w:val="none"/>
                <w:lang w:val="en-US" w:eastAsia="zh-CN"/>
              </w:rPr>
              <w:t>不低于上年值</w:t>
            </w:r>
          </w:p>
        </w:tc>
        <w:tc>
          <w:tcPr>
            <w:tcW w:w="1537" w:type="dxa"/>
            <w:tcBorders>
              <w:top w:val="single" w:color="auto" w:sz="4" w:space="0"/>
              <w:left w:val="single" w:color="auto" w:sz="4" w:space="0"/>
              <w:bottom w:val="single" w:color="auto" w:sz="4" w:space="0"/>
              <w:right w:val="single" w:color="auto" w:sz="4" w:space="0"/>
            </w:tcBorders>
            <w:noWrap w:val="0"/>
            <w:vAlign w:val="center"/>
          </w:tcPr>
          <w:p w14:paraId="0C93B645">
            <w:pPr>
              <w:keepNext w:val="0"/>
              <w:keepLines w:val="0"/>
              <w:pageBreakBefore w:val="0"/>
              <w:suppressLineNumbers w:val="0"/>
              <w:kinsoku/>
              <w:wordWrap/>
              <w:topLinePunct w:val="0"/>
              <w:autoSpaceDE/>
              <w:autoSpaceDN/>
              <w:bidi w:val="0"/>
              <w:adjustRightInd/>
              <w:snapToGrid/>
              <w:spacing w:before="0" w:beforeAutospacing="0" w:after="0" w:afterAutospacing="0" w:line="500" w:lineRule="exact"/>
              <w:ind w:left="0" w:leftChars="0" w:right="0" w:rightChars="0"/>
              <w:jc w:val="center"/>
              <w:rPr>
                <w:rFonts w:hint="default" w:ascii="Times New Roman" w:hAnsi="Times New Roman" w:eastAsia="仿宋_GB2312" w:cs="Times New Roman"/>
                <w:i w:val="0"/>
                <w:iCs w:val="0"/>
                <w:color w:val="000000"/>
                <w:sz w:val="21"/>
                <w:szCs w:val="21"/>
                <w:highlight w:val="none"/>
                <w:u w:val="none"/>
                <w:lang w:val="en-US" w:eastAsia="zh-CN"/>
              </w:rPr>
            </w:pPr>
            <w:r>
              <w:rPr>
                <w:rFonts w:hint="default" w:ascii="Times New Roman" w:hAnsi="Times New Roman" w:eastAsia="仿宋_GB2312" w:cs="Times New Roman"/>
                <w:i w:val="0"/>
                <w:iCs w:val="0"/>
                <w:color w:val="000000"/>
                <w:sz w:val="21"/>
                <w:szCs w:val="21"/>
                <w:highlight w:val="none"/>
                <w:u w:val="none"/>
                <w:lang w:val="en-US" w:eastAsia="zh-CN"/>
              </w:rPr>
              <w:t>不低于上年值</w:t>
            </w:r>
          </w:p>
        </w:tc>
      </w:tr>
      <w:tr w14:paraId="03C3AF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7" w:hRule="atLeast"/>
          <w:jc w:val="center"/>
        </w:trPr>
        <w:tc>
          <w:tcPr>
            <w:tcW w:w="1080" w:type="dxa"/>
            <w:vMerge w:val="continue"/>
            <w:tcBorders>
              <w:left w:val="single" w:color="auto" w:sz="4" w:space="0"/>
              <w:right w:val="single" w:color="auto" w:sz="4" w:space="0"/>
            </w:tcBorders>
            <w:noWrap w:val="0"/>
            <w:vAlign w:val="center"/>
          </w:tcPr>
          <w:p w14:paraId="28B0E398">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1DAA0A0C">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1178" w:type="dxa"/>
            <w:gridSpan w:val="2"/>
            <w:vMerge w:val="continue"/>
            <w:tcBorders>
              <w:left w:val="single" w:color="auto" w:sz="4" w:space="0"/>
              <w:right w:val="single" w:color="auto" w:sz="4" w:space="0"/>
            </w:tcBorders>
            <w:noWrap w:val="0"/>
            <w:vAlign w:val="center"/>
          </w:tcPr>
          <w:p w14:paraId="2EC6EE9A">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3369" w:type="dxa"/>
            <w:gridSpan w:val="2"/>
            <w:tcBorders>
              <w:top w:val="single" w:color="auto" w:sz="4" w:space="0"/>
              <w:left w:val="single" w:color="auto" w:sz="4" w:space="0"/>
              <w:bottom w:val="single" w:color="auto" w:sz="4" w:space="0"/>
              <w:right w:val="single" w:color="auto" w:sz="4" w:space="0"/>
            </w:tcBorders>
            <w:noWrap w:val="0"/>
            <w:vAlign w:val="center"/>
          </w:tcPr>
          <w:p w14:paraId="0871732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i w:val="0"/>
                <w:iCs w:val="0"/>
                <w:color w:val="000000"/>
                <w:sz w:val="21"/>
                <w:szCs w:val="21"/>
                <w:highlight w:val="none"/>
                <w:u w:val="none"/>
                <w:lang w:val="en-US" w:eastAsia="zh-CN"/>
              </w:rPr>
            </w:pPr>
            <w:r>
              <w:rPr>
                <w:rFonts w:hint="default" w:ascii="Times New Roman" w:hAnsi="Times New Roman" w:eastAsia="仿宋_GB2312" w:cs="Times New Roman"/>
                <w:i w:val="0"/>
                <w:iCs w:val="0"/>
                <w:color w:val="000000"/>
                <w:sz w:val="21"/>
                <w:szCs w:val="21"/>
                <w:highlight w:val="none"/>
                <w:u w:val="none"/>
                <w:lang w:val="en-US" w:eastAsia="zh-CN"/>
              </w:rPr>
              <w:t>16.高血压患者规范管理率（%）</w:t>
            </w:r>
          </w:p>
        </w:tc>
        <w:tc>
          <w:tcPr>
            <w:tcW w:w="1601" w:type="dxa"/>
            <w:tcBorders>
              <w:top w:val="single" w:color="auto" w:sz="4" w:space="0"/>
              <w:left w:val="single" w:color="auto" w:sz="4" w:space="0"/>
              <w:bottom w:val="single" w:color="auto" w:sz="4" w:space="0"/>
              <w:right w:val="single" w:color="auto" w:sz="4" w:space="0"/>
            </w:tcBorders>
            <w:noWrap w:val="0"/>
            <w:vAlign w:val="center"/>
          </w:tcPr>
          <w:p w14:paraId="370F9FC4">
            <w:pPr>
              <w:keepNext w:val="0"/>
              <w:keepLines w:val="0"/>
              <w:pageBreakBefore w:val="0"/>
              <w:suppressLineNumbers w:val="0"/>
              <w:kinsoku/>
              <w:wordWrap/>
              <w:topLinePunct w:val="0"/>
              <w:autoSpaceDE/>
              <w:autoSpaceDN/>
              <w:bidi w:val="0"/>
              <w:adjustRightInd/>
              <w:snapToGrid/>
              <w:spacing w:before="0" w:beforeAutospacing="0" w:after="0" w:afterAutospacing="0" w:line="500" w:lineRule="exact"/>
              <w:ind w:left="0" w:leftChars="0" w:right="0" w:rightChars="0"/>
              <w:jc w:val="center"/>
              <w:rPr>
                <w:rFonts w:hint="default" w:ascii="Times New Roman" w:hAnsi="Times New Roman" w:eastAsia="仿宋_GB2312" w:cs="Times New Roman"/>
                <w:i w:val="0"/>
                <w:iCs w:val="0"/>
                <w:color w:val="000000"/>
                <w:sz w:val="21"/>
                <w:szCs w:val="21"/>
                <w:highlight w:val="none"/>
                <w:u w:val="none"/>
                <w:lang w:val="en-US" w:eastAsia="zh-CN"/>
              </w:rPr>
            </w:pPr>
            <w:r>
              <w:rPr>
                <w:rFonts w:hint="default" w:ascii="Times New Roman" w:hAnsi="Times New Roman" w:eastAsia="仿宋_GB2312" w:cs="Times New Roman"/>
                <w:i w:val="0"/>
                <w:iCs w:val="0"/>
                <w:color w:val="000000"/>
                <w:sz w:val="21"/>
                <w:szCs w:val="21"/>
                <w:highlight w:val="none"/>
                <w:u w:val="none"/>
                <w:lang w:val="en-US" w:eastAsia="zh-CN"/>
              </w:rPr>
              <w:t>不低于上年值</w:t>
            </w:r>
          </w:p>
        </w:tc>
        <w:tc>
          <w:tcPr>
            <w:tcW w:w="1537" w:type="dxa"/>
            <w:tcBorders>
              <w:top w:val="single" w:color="auto" w:sz="4" w:space="0"/>
              <w:left w:val="single" w:color="auto" w:sz="4" w:space="0"/>
              <w:bottom w:val="single" w:color="auto" w:sz="4" w:space="0"/>
              <w:right w:val="single" w:color="auto" w:sz="4" w:space="0"/>
            </w:tcBorders>
            <w:noWrap w:val="0"/>
            <w:vAlign w:val="center"/>
          </w:tcPr>
          <w:p w14:paraId="45C5D7F4">
            <w:pPr>
              <w:keepNext w:val="0"/>
              <w:keepLines w:val="0"/>
              <w:pageBreakBefore w:val="0"/>
              <w:suppressLineNumbers w:val="0"/>
              <w:kinsoku/>
              <w:wordWrap/>
              <w:topLinePunct w:val="0"/>
              <w:autoSpaceDE/>
              <w:autoSpaceDN/>
              <w:bidi w:val="0"/>
              <w:adjustRightInd/>
              <w:snapToGrid/>
              <w:spacing w:before="0" w:beforeAutospacing="0" w:after="0" w:afterAutospacing="0" w:line="500" w:lineRule="exact"/>
              <w:ind w:left="0" w:leftChars="0" w:right="0" w:rightChars="0"/>
              <w:jc w:val="center"/>
              <w:rPr>
                <w:rFonts w:hint="default" w:ascii="Times New Roman" w:hAnsi="Times New Roman" w:eastAsia="仿宋_GB2312" w:cs="Times New Roman"/>
                <w:i w:val="0"/>
                <w:iCs w:val="0"/>
                <w:color w:val="000000"/>
                <w:sz w:val="21"/>
                <w:szCs w:val="21"/>
                <w:highlight w:val="none"/>
                <w:u w:val="none"/>
                <w:lang w:val="en-US" w:eastAsia="zh-CN"/>
              </w:rPr>
            </w:pPr>
            <w:r>
              <w:rPr>
                <w:rFonts w:hint="default" w:ascii="Times New Roman" w:hAnsi="Times New Roman" w:eastAsia="仿宋_GB2312" w:cs="Times New Roman"/>
                <w:i w:val="0"/>
                <w:iCs w:val="0"/>
                <w:color w:val="000000"/>
                <w:sz w:val="21"/>
                <w:szCs w:val="21"/>
                <w:highlight w:val="none"/>
                <w:u w:val="none"/>
                <w:lang w:val="en-US" w:eastAsia="zh-CN"/>
              </w:rPr>
              <w:t>不低于上年值</w:t>
            </w:r>
          </w:p>
        </w:tc>
      </w:tr>
      <w:tr w14:paraId="371381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7" w:hRule="atLeast"/>
          <w:jc w:val="center"/>
        </w:trPr>
        <w:tc>
          <w:tcPr>
            <w:tcW w:w="1080" w:type="dxa"/>
            <w:vMerge w:val="continue"/>
            <w:tcBorders>
              <w:left w:val="single" w:color="auto" w:sz="4" w:space="0"/>
              <w:right w:val="single" w:color="auto" w:sz="4" w:space="0"/>
            </w:tcBorders>
            <w:noWrap w:val="0"/>
            <w:vAlign w:val="center"/>
          </w:tcPr>
          <w:p w14:paraId="33281907">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625A9EC3">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1178" w:type="dxa"/>
            <w:gridSpan w:val="2"/>
            <w:vMerge w:val="continue"/>
            <w:tcBorders>
              <w:left w:val="single" w:color="auto" w:sz="4" w:space="0"/>
              <w:bottom w:val="single" w:color="auto" w:sz="4" w:space="0"/>
              <w:right w:val="single" w:color="auto" w:sz="4" w:space="0"/>
            </w:tcBorders>
            <w:noWrap w:val="0"/>
            <w:vAlign w:val="center"/>
          </w:tcPr>
          <w:p w14:paraId="1A87E918">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3369" w:type="dxa"/>
            <w:gridSpan w:val="2"/>
            <w:tcBorders>
              <w:top w:val="single" w:color="auto" w:sz="4" w:space="0"/>
              <w:left w:val="single" w:color="auto" w:sz="4" w:space="0"/>
              <w:bottom w:val="single" w:color="auto" w:sz="4" w:space="0"/>
              <w:right w:val="single" w:color="auto" w:sz="4" w:space="0"/>
            </w:tcBorders>
            <w:noWrap w:val="0"/>
            <w:vAlign w:val="center"/>
          </w:tcPr>
          <w:p w14:paraId="5FC5272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i w:val="0"/>
                <w:iCs w:val="0"/>
                <w:color w:val="000000"/>
                <w:sz w:val="21"/>
                <w:szCs w:val="21"/>
                <w:highlight w:val="none"/>
                <w:u w:val="none"/>
                <w:lang w:val="en-US" w:eastAsia="zh-CN"/>
              </w:rPr>
            </w:pPr>
            <w:r>
              <w:rPr>
                <w:rFonts w:hint="default" w:ascii="Times New Roman" w:hAnsi="Times New Roman" w:eastAsia="仿宋_GB2312" w:cs="Times New Roman"/>
                <w:i w:val="0"/>
                <w:iCs w:val="0"/>
                <w:color w:val="000000"/>
                <w:sz w:val="21"/>
                <w:szCs w:val="21"/>
                <w:highlight w:val="none"/>
                <w:u w:val="none"/>
                <w:lang w:val="en-US" w:eastAsia="zh-CN"/>
              </w:rPr>
              <w:t>17.糖尿病患者规范管理率（%）</w:t>
            </w:r>
          </w:p>
        </w:tc>
        <w:tc>
          <w:tcPr>
            <w:tcW w:w="1601" w:type="dxa"/>
            <w:tcBorders>
              <w:top w:val="single" w:color="auto" w:sz="4" w:space="0"/>
              <w:left w:val="single" w:color="auto" w:sz="4" w:space="0"/>
              <w:bottom w:val="single" w:color="auto" w:sz="4" w:space="0"/>
              <w:right w:val="single" w:color="auto" w:sz="4" w:space="0"/>
            </w:tcBorders>
            <w:noWrap w:val="0"/>
            <w:vAlign w:val="center"/>
          </w:tcPr>
          <w:p w14:paraId="7221B54F">
            <w:pPr>
              <w:keepNext w:val="0"/>
              <w:keepLines w:val="0"/>
              <w:pageBreakBefore w:val="0"/>
              <w:suppressLineNumbers w:val="0"/>
              <w:kinsoku/>
              <w:wordWrap/>
              <w:topLinePunct w:val="0"/>
              <w:autoSpaceDE/>
              <w:autoSpaceDN/>
              <w:bidi w:val="0"/>
              <w:adjustRightInd/>
              <w:snapToGrid/>
              <w:spacing w:before="0" w:beforeAutospacing="0" w:after="0" w:afterAutospacing="0" w:line="500" w:lineRule="exact"/>
              <w:ind w:left="0" w:leftChars="0" w:right="0" w:rightChars="0"/>
              <w:jc w:val="center"/>
              <w:rPr>
                <w:rFonts w:hint="default" w:ascii="Times New Roman" w:hAnsi="Times New Roman" w:eastAsia="仿宋_GB2312" w:cs="Times New Roman"/>
                <w:i w:val="0"/>
                <w:iCs w:val="0"/>
                <w:color w:val="000000"/>
                <w:sz w:val="21"/>
                <w:szCs w:val="21"/>
                <w:highlight w:val="none"/>
                <w:u w:val="none"/>
                <w:lang w:val="en-US" w:eastAsia="zh-CN"/>
              </w:rPr>
            </w:pPr>
            <w:r>
              <w:rPr>
                <w:rFonts w:hint="default" w:ascii="Times New Roman" w:hAnsi="Times New Roman" w:eastAsia="仿宋_GB2312" w:cs="Times New Roman"/>
                <w:i w:val="0"/>
                <w:iCs w:val="0"/>
                <w:color w:val="000000"/>
                <w:sz w:val="21"/>
                <w:szCs w:val="21"/>
                <w:highlight w:val="none"/>
                <w:u w:val="none"/>
                <w:lang w:val="en-US" w:eastAsia="zh-CN"/>
              </w:rPr>
              <w:t>不低于上年值</w:t>
            </w:r>
          </w:p>
        </w:tc>
        <w:tc>
          <w:tcPr>
            <w:tcW w:w="1537" w:type="dxa"/>
            <w:tcBorders>
              <w:top w:val="single" w:color="auto" w:sz="4" w:space="0"/>
              <w:left w:val="single" w:color="auto" w:sz="4" w:space="0"/>
              <w:bottom w:val="single" w:color="auto" w:sz="4" w:space="0"/>
              <w:right w:val="single" w:color="auto" w:sz="4" w:space="0"/>
            </w:tcBorders>
            <w:noWrap w:val="0"/>
            <w:vAlign w:val="center"/>
          </w:tcPr>
          <w:p w14:paraId="4ADBA5B4">
            <w:pPr>
              <w:keepNext w:val="0"/>
              <w:keepLines w:val="0"/>
              <w:pageBreakBefore w:val="0"/>
              <w:suppressLineNumbers w:val="0"/>
              <w:kinsoku/>
              <w:wordWrap/>
              <w:topLinePunct w:val="0"/>
              <w:autoSpaceDE/>
              <w:autoSpaceDN/>
              <w:bidi w:val="0"/>
              <w:adjustRightInd/>
              <w:snapToGrid/>
              <w:spacing w:before="0" w:beforeAutospacing="0" w:after="0" w:afterAutospacing="0" w:line="500" w:lineRule="exact"/>
              <w:ind w:left="0" w:leftChars="0" w:right="0" w:rightChars="0"/>
              <w:jc w:val="center"/>
              <w:rPr>
                <w:rFonts w:hint="default" w:ascii="Times New Roman" w:hAnsi="Times New Roman" w:eastAsia="仿宋_GB2312" w:cs="Times New Roman"/>
                <w:i w:val="0"/>
                <w:iCs w:val="0"/>
                <w:color w:val="000000"/>
                <w:sz w:val="21"/>
                <w:szCs w:val="21"/>
                <w:highlight w:val="none"/>
                <w:u w:val="none"/>
                <w:lang w:val="en-US" w:eastAsia="zh-CN"/>
              </w:rPr>
            </w:pPr>
            <w:r>
              <w:rPr>
                <w:rFonts w:hint="default" w:ascii="Times New Roman" w:hAnsi="Times New Roman" w:eastAsia="仿宋_GB2312" w:cs="Times New Roman"/>
                <w:i w:val="0"/>
                <w:iCs w:val="0"/>
                <w:color w:val="000000"/>
                <w:sz w:val="21"/>
                <w:szCs w:val="21"/>
                <w:highlight w:val="none"/>
                <w:u w:val="none"/>
                <w:lang w:val="en-US" w:eastAsia="zh-CN"/>
              </w:rPr>
              <w:t>不低于上年值</w:t>
            </w:r>
          </w:p>
        </w:tc>
      </w:tr>
      <w:tr w14:paraId="29621B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080" w:type="dxa"/>
            <w:vMerge w:val="continue"/>
            <w:tcBorders>
              <w:left w:val="single" w:color="auto" w:sz="4" w:space="0"/>
              <w:right w:val="single" w:color="auto" w:sz="4" w:space="0"/>
            </w:tcBorders>
            <w:noWrap w:val="0"/>
            <w:vAlign w:val="center"/>
          </w:tcPr>
          <w:p w14:paraId="4189282C">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1080" w:type="dxa"/>
            <w:vMerge w:val="restart"/>
            <w:tcBorders>
              <w:top w:val="single" w:color="auto" w:sz="4" w:space="0"/>
              <w:left w:val="single" w:color="auto" w:sz="4" w:space="0"/>
              <w:right w:val="single" w:color="auto" w:sz="4" w:space="0"/>
            </w:tcBorders>
            <w:noWrap w:val="0"/>
            <w:vAlign w:val="center"/>
          </w:tcPr>
          <w:p w14:paraId="4887CF0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满意度指标</w:t>
            </w:r>
          </w:p>
        </w:tc>
        <w:tc>
          <w:tcPr>
            <w:tcW w:w="1178" w:type="dxa"/>
            <w:gridSpan w:val="2"/>
            <w:vMerge w:val="restart"/>
            <w:tcBorders>
              <w:top w:val="single" w:color="auto" w:sz="4" w:space="0"/>
              <w:left w:val="single" w:color="auto" w:sz="4" w:space="0"/>
              <w:right w:val="single" w:color="auto" w:sz="4" w:space="0"/>
            </w:tcBorders>
            <w:noWrap w:val="0"/>
            <w:vAlign w:val="center"/>
          </w:tcPr>
          <w:p w14:paraId="2581712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服务对象受益程度指标</w:t>
            </w:r>
          </w:p>
        </w:tc>
        <w:tc>
          <w:tcPr>
            <w:tcW w:w="3369" w:type="dxa"/>
            <w:gridSpan w:val="2"/>
            <w:tcBorders>
              <w:top w:val="single" w:color="auto" w:sz="4" w:space="0"/>
              <w:left w:val="single" w:color="auto" w:sz="4" w:space="0"/>
              <w:bottom w:val="single" w:color="auto" w:sz="4" w:space="0"/>
              <w:right w:val="single" w:color="auto" w:sz="4" w:space="0"/>
            </w:tcBorders>
            <w:noWrap w:val="0"/>
            <w:vAlign w:val="center"/>
          </w:tcPr>
          <w:p w14:paraId="2EB0C09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18.公立医院门诊患者满意度</w:t>
            </w:r>
          </w:p>
        </w:tc>
        <w:tc>
          <w:tcPr>
            <w:tcW w:w="1601" w:type="dxa"/>
            <w:tcBorders>
              <w:top w:val="single" w:color="auto" w:sz="4" w:space="0"/>
              <w:left w:val="single" w:color="auto" w:sz="4" w:space="0"/>
              <w:bottom w:val="single" w:color="auto" w:sz="4" w:space="0"/>
              <w:right w:val="single" w:color="auto" w:sz="4" w:space="0"/>
            </w:tcBorders>
            <w:noWrap w:val="0"/>
            <w:vAlign w:val="center"/>
          </w:tcPr>
          <w:p w14:paraId="6EA7FE8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≥91%</w:t>
            </w:r>
          </w:p>
        </w:tc>
        <w:tc>
          <w:tcPr>
            <w:tcW w:w="1537" w:type="dxa"/>
            <w:tcBorders>
              <w:top w:val="single" w:color="auto" w:sz="4" w:space="0"/>
              <w:left w:val="single" w:color="auto" w:sz="4" w:space="0"/>
              <w:bottom w:val="single" w:color="auto" w:sz="4" w:space="0"/>
              <w:right w:val="single" w:color="auto" w:sz="4" w:space="0"/>
            </w:tcBorders>
            <w:noWrap w:val="0"/>
            <w:vAlign w:val="center"/>
          </w:tcPr>
          <w:p w14:paraId="3843F3B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≥93%</w:t>
            </w:r>
          </w:p>
        </w:tc>
      </w:tr>
      <w:tr w14:paraId="19176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080" w:type="dxa"/>
            <w:vMerge w:val="continue"/>
            <w:tcBorders>
              <w:left w:val="single" w:color="auto" w:sz="4" w:space="0"/>
              <w:right w:val="single" w:color="auto" w:sz="4" w:space="0"/>
            </w:tcBorders>
            <w:noWrap w:val="0"/>
            <w:vAlign w:val="center"/>
          </w:tcPr>
          <w:p w14:paraId="283943BB">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1080" w:type="dxa"/>
            <w:vMerge w:val="continue"/>
            <w:tcBorders>
              <w:left w:val="single" w:color="auto" w:sz="4" w:space="0"/>
              <w:right w:val="single" w:color="auto" w:sz="4" w:space="0"/>
            </w:tcBorders>
            <w:noWrap w:val="0"/>
            <w:vAlign w:val="center"/>
          </w:tcPr>
          <w:p w14:paraId="0DC52CBE">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1178" w:type="dxa"/>
            <w:gridSpan w:val="2"/>
            <w:vMerge w:val="continue"/>
            <w:tcBorders>
              <w:left w:val="single" w:color="auto" w:sz="4" w:space="0"/>
              <w:right w:val="single" w:color="auto" w:sz="4" w:space="0"/>
            </w:tcBorders>
            <w:noWrap w:val="0"/>
            <w:vAlign w:val="center"/>
          </w:tcPr>
          <w:p w14:paraId="097EE129">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3369" w:type="dxa"/>
            <w:gridSpan w:val="2"/>
            <w:tcBorders>
              <w:top w:val="single" w:color="auto" w:sz="4" w:space="0"/>
              <w:left w:val="single" w:color="auto" w:sz="4" w:space="0"/>
              <w:bottom w:val="single" w:color="auto" w:sz="4" w:space="0"/>
              <w:right w:val="single" w:color="auto" w:sz="4" w:space="0"/>
            </w:tcBorders>
            <w:noWrap w:val="0"/>
            <w:vAlign w:val="center"/>
          </w:tcPr>
          <w:p w14:paraId="4044CE8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19.公立医院住院患者满意度</w:t>
            </w:r>
          </w:p>
        </w:tc>
        <w:tc>
          <w:tcPr>
            <w:tcW w:w="1601" w:type="dxa"/>
            <w:tcBorders>
              <w:top w:val="single" w:color="auto" w:sz="4" w:space="0"/>
              <w:left w:val="single" w:color="auto" w:sz="4" w:space="0"/>
              <w:bottom w:val="single" w:color="auto" w:sz="4" w:space="0"/>
              <w:right w:val="single" w:color="auto" w:sz="4" w:space="0"/>
            </w:tcBorders>
            <w:noWrap w:val="0"/>
            <w:vAlign w:val="center"/>
          </w:tcPr>
          <w:p w14:paraId="24BDF15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≥91%</w:t>
            </w:r>
          </w:p>
        </w:tc>
        <w:tc>
          <w:tcPr>
            <w:tcW w:w="1537" w:type="dxa"/>
            <w:tcBorders>
              <w:top w:val="single" w:color="auto" w:sz="4" w:space="0"/>
              <w:left w:val="single" w:color="auto" w:sz="4" w:space="0"/>
              <w:bottom w:val="single" w:color="auto" w:sz="4" w:space="0"/>
              <w:right w:val="single" w:color="auto" w:sz="4" w:space="0"/>
            </w:tcBorders>
            <w:noWrap w:val="0"/>
            <w:vAlign w:val="center"/>
          </w:tcPr>
          <w:p w14:paraId="591C38D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≥92%</w:t>
            </w:r>
          </w:p>
        </w:tc>
      </w:tr>
      <w:tr w14:paraId="5B8596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080" w:type="dxa"/>
            <w:vMerge w:val="continue"/>
            <w:tcBorders>
              <w:left w:val="single" w:color="auto" w:sz="4" w:space="0"/>
              <w:right w:val="single" w:color="auto" w:sz="4" w:space="0"/>
            </w:tcBorders>
            <w:noWrap w:val="0"/>
            <w:vAlign w:val="center"/>
          </w:tcPr>
          <w:p w14:paraId="7BE76477">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1080" w:type="dxa"/>
            <w:vMerge w:val="continue"/>
            <w:tcBorders>
              <w:left w:val="single" w:color="auto" w:sz="4" w:space="0"/>
              <w:right w:val="single" w:color="auto" w:sz="4" w:space="0"/>
            </w:tcBorders>
            <w:noWrap w:val="0"/>
            <w:vAlign w:val="center"/>
          </w:tcPr>
          <w:p w14:paraId="321F1350">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1178" w:type="dxa"/>
            <w:gridSpan w:val="2"/>
            <w:vMerge w:val="continue"/>
            <w:tcBorders>
              <w:left w:val="single" w:color="auto" w:sz="4" w:space="0"/>
              <w:right w:val="single" w:color="auto" w:sz="4" w:space="0"/>
            </w:tcBorders>
            <w:noWrap w:val="0"/>
            <w:vAlign w:val="center"/>
          </w:tcPr>
          <w:p w14:paraId="2C80E06C">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3369" w:type="dxa"/>
            <w:gridSpan w:val="2"/>
            <w:tcBorders>
              <w:top w:val="single" w:color="auto" w:sz="4" w:space="0"/>
              <w:left w:val="single" w:color="auto" w:sz="4" w:space="0"/>
              <w:bottom w:val="single" w:color="auto" w:sz="4" w:space="0"/>
              <w:right w:val="single" w:color="auto" w:sz="4" w:space="0"/>
            </w:tcBorders>
            <w:noWrap w:val="0"/>
            <w:vAlign w:val="center"/>
          </w:tcPr>
          <w:p w14:paraId="4F1DC52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20.公立医院医务人员满意度</w:t>
            </w:r>
          </w:p>
        </w:tc>
        <w:tc>
          <w:tcPr>
            <w:tcW w:w="1601" w:type="dxa"/>
            <w:tcBorders>
              <w:top w:val="single" w:color="auto" w:sz="4" w:space="0"/>
              <w:left w:val="single" w:color="auto" w:sz="4" w:space="0"/>
              <w:bottom w:val="single" w:color="auto" w:sz="4" w:space="0"/>
              <w:right w:val="single" w:color="auto" w:sz="4" w:space="0"/>
            </w:tcBorders>
            <w:noWrap w:val="0"/>
            <w:vAlign w:val="center"/>
          </w:tcPr>
          <w:p w14:paraId="5816CC7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≥87%</w:t>
            </w:r>
          </w:p>
        </w:tc>
        <w:tc>
          <w:tcPr>
            <w:tcW w:w="1537" w:type="dxa"/>
            <w:tcBorders>
              <w:top w:val="single" w:color="auto" w:sz="4" w:space="0"/>
              <w:left w:val="single" w:color="auto" w:sz="4" w:space="0"/>
              <w:bottom w:val="single" w:color="auto" w:sz="4" w:space="0"/>
              <w:right w:val="single" w:color="auto" w:sz="4" w:space="0"/>
            </w:tcBorders>
            <w:noWrap w:val="0"/>
            <w:vAlign w:val="center"/>
          </w:tcPr>
          <w:p w14:paraId="2BE4D6B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≥88%</w:t>
            </w:r>
          </w:p>
        </w:tc>
      </w:tr>
      <w:tr w14:paraId="3AA804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080" w:type="dxa"/>
            <w:vMerge w:val="continue"/>
            <w:tcBorders>
              <w:left w:val="single" w:color="auto" w:sz="4" w:space="0"/>
              <w:right w:val="single" w:color="auto" w:sz="4" w:space="0"/>
            </w:tcBorders>
            <w:noWrap w:val="0"/>
            <w:vAlign w:val="center"/>
          </w:tcPr>
          <w:p w14:paraId="6E3184A9">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1080" w:type="dxa"/>
            <w:vMerge w:val="continue"/>
            <w:tcBorders>
              <w:left w:val="single" w:color="auto" w:sz="4" w:space="0"/>
              <w:right w:val="single" w:color="auto" w:sz="4" w:space="0"/>
            </w:tcBorders>
            <w:noWrap w:val="0"/>
            <w:vAlign w:val="center"/>
          </w:tcPr>
          <w:p w14:paraId="4C8A2EB8">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1178" w:type="dxa"/>
            <w:gridSpan w:val="2"/>
            <w:vMerge w:val="continue"/>
            <w:tcBorders>
              <w:left w:val="single" w:color="auto" w:sz="4" w:space="0"/>
              <w:right w:val="single" w:color="auto" w:sz="4" w:space="0"/>
            </w:tcBorders>
            <w:noWrap w:val="0"/>
            <w:vAlign w:val="center"/>
          </w:tcPr>
          <w:p w14:paraId="3185641C">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3369" w:type="dxa"/>
            <w:gridSpan w:val="2"/>
            <w:tcBorders>
              <w:top w:val="single" w:color="auto" w:sz="4" w:space="0"/>
              <w:left w:val="single" w:color="auto" w:sz="4" w:space="0"/>
              <w:bottom w:val="single" w:color="auto" w:sz="4" w:space="0"/>
              <w:right w:val="single" w:color="auto" w:sz="4" w:space="0"/>
            </w:tcBorders>
            <w:noWrap w:val="0"/>
            <w:vAlign w:val="center"/>
          </w:tcPr>
          <w:p w14:paraId="42DE914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highlight w:val="none"/>
                <w:u w:val="none"/>
                <w:lang w:val="en-US" w:eastAsia="zh-CN" w:bidi="ar"/>
              </w:rPr>
              <w:t>21.职工医保住院费用个人实际负担比例</w:t>
            </w:r>
          </w:p>
        </w:tc>
        <w:tc>
          <w:tcPr>
            <w:tcW w:w="1601" w:type="dxa"/>
            <w:tcBorders>
              <w:top w:val="single" w:color="auto" w:sz="4" w:space="0"/>
              <w:left w:val="single" w:color="auto" w:sz="4" w:space="0"/>
              <w:bottom w:val="single" w:color="auto" w:sz="4" w:space="0"/>
              <w:right w:val="single" w:color="auto" w:sz="4" w:space="0"/>
            </w:tcBorders>
            <w:noWrap w:val="0"/>
            <w:vAlign w:val="center"/>
          </w:tcPr>
          <w:p w14:paraId="3F91AA71">
            <w:pPr>
              <w:keepNext w:val="0"/>
              <w:keepLines w:val="0"/>
              <w:pageBreakBefore w:val="0"/>
              <w:suppressLineNumbers w:val="0"/>
              <w:kinsoku/>
              <w:wordWrap/>
              <w:topLinePunct w:val="0"/>
              <w:autoSpaceDE/>
              <w:autoSpaceDN/>
              <w:bidi w:val="0"/>
              <w:adjustRightInd/>
              <w:snapToGrid/>
              <w:spacing w:before="0" w:beforeAutospacing="0" w:after="0" w:afterAutospacing="0" w:line="500" w:lineRule="exact"/>
              <w:ind w:left="0" w:leftChars="0" w:right="0" w:rightChars="0"/>
              <w:jc w:val="center"/>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i w:val="0"/>
                <w:iCs w:val="0"/>
                <w:color w:val="000000"/>
                <w:sz w:val="21"/>
                <w:szCs w:val="21"/>
                <w:highlight w:val="none"/>
                <w:u w:val="none"/>
                <w:lang w:val="en-US" w:eastAsia="zh-CN"/>
              </w:rPr>
              <w:t>逐年提高</w:t>
            </w:r>
          </w:p>
        </w:tc>
        <w:tc>
          <w:tcPr>
            <w:tcW w:w="1537" w:type="dxa"/>
            <w:tcBorders>
              <w:top w:val="single" w:color="auto" w:sz="4" w:space="0"/>
              <w:left w:val="single" w:color="auto" w:sz="4" w:space="0"/>
              <w:bottom w:val="single" w:color="auto" w:sz="4" w:space="0"/>
              <w:right w:val="single" w:color="auto" w:sz="4" w:space="0"/>
            </w:tcBorders>
            <w:noWrap w:val="0"/>
            <w:vAlign w:val="center"/>
          </w:tcPr>
          <w:p w14:paraId="19150462">
            <w:pPr>
              <w:keepNext w:val="0"/>
              <w:keepLines w:val="0"/>
              <w:pageBreakBefore w:val="0"/>
              <w:suppressLineNumbers w:val="0"/>
              <w:kinsoku/>
              <w:wordWrap/>
              <w:topLinePunct w:val="0"/>
              <w:autoSpaceDE/>
              <w:autoSpaceDN/>
              <w:bidi w:val="0"/>
              <w:adjustRightInd/>
              <w:snapToGrid/>
              <w:spacing w:before="0" w:beforeAutospacing="0" w:after="0" w:afterAutospacing="0" w:line="500" w:lineRule="exact"/>
              <w:ind w:left="0" w:leftChars="0" w:right="0" w:rightChars="0"/>
              <w:jc w:val="center"/>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i w:val="0"/>
                <w:iCs w:val="0"/>
                <w:color w:val="000000"/>
                <w:sz w:val="21"/>
                <w:szCs w:val="21"/>
                <w:highlight w:val="none"/>
                <w:u w:val="none"/>
                <w:lang w:val="en-US" w:eastAsia="zh-CN"/>
              </w:rPr>
              <w:t>逐年提高</w:t>
            </w:r>
          </w:p>
        </w:tc>
      </w:tr>
      <w:tr w14:paraId="0E60AC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080" w:type="dxa"/>
            <w:vMerge w:val="continue"/>
            <w:tcBorders>
              <w:left w:val="single" w:color="auto" w:sz="4" w:space="0"/>
              <w:bottom w:val="single" w:color="auto" w:sz="4" w:space="0"/>
              <w:right w:val="single" w:color="auto" w:sz="4" w:space="0"/>
            </w:tcBorders>
            <w:noWrap w:val="0"/>
            <w:vAlign w:val="center"/>
          </w:tcPr>
          <w:p w14:paraId="2630DC34">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1080" w:type="dxa"/>
            <w:vMerge w:val="continue"/>
            <w:tcBorders>
              <w:left w:val="single" w:color="auto" w:sz="4" w:space="0"/>
              <w:bottom w:val="single" w:color="auto" w:sz="4" w:space="0"/>
              <w:right w:val="single" w:color="auto" w:sz="4" w:space="0"/>
            </w:tcBorders>
            <w:noWrap w:val="0"/>
            <w:vAlign w:val="center"/>
          </w:tcPr>
          <w:p w14:paraId="6C152209">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1178" w:type="dxa"/>
            <w:gridSpan w:val="2"/>
            <w:vMerge w:val="continue"/>
            <w:tcBorders>
              <w:left w:val="single" w:color="auto" w:sz="4" w:space="0"/>
              <w:bottom w:val="single" w:color="auto" w:sz="4" w:space="0"/>
              <w:right w:val="single" w:color="auto" w:sz="4" w:space="0"/>
            </w:tcBorders>
            <w:noWrap w:val="0"/>
            <w:vAlign w:val="center"/>
          </w:tcPr>
          <w:p w14:paraId="5ABED129">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3369" w:type="dxa"/>
            <w:gridSpan w:val="2"/>
            <w:tcBorders>
              <w:top w:val="single" w:color="auto" w:sz="4" w:space="0"/>
              <w:left w:val="single" w:color="auto" w:sz="4" w:space="0"/>
              <w:bottom w:val="single" w:color="auto" w:sz="4" w:space="0"/>
              <w:right w:val="single" w:color="auto" w:sz="4" w:space="0"/>
            </w:tcBorders>
            <w:noWrap w:val="0"/>
            <w:vAlign w:val="center"/>
          </w:tcPr>
          <w:p w14:paraId="7E24369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highlight w:val="none"/>
                <w:u w:val="none"/>
                <w:lang w:val="en-US" w:eastAsia="zh-CN" w:bidi="ar"/>
              </w:rPr>
              <w:t>22.城乡居民医保住院费用个人实际负担比例</w:t>
            </w:r>
          </w:p>
        </w:tc>
        <w:tc>
          <w:tcPr>
            <w:tcW w:w="1601" w:type="dxa"/>
            <w:tcBorders>
              <w:top w:val="single" w:color="auto" w:sz="4" w:space="0"/>
              <w:left w:val="single" w:color="auto" w:sz="4" w:space="0"/>
              <w:bottom w:val="single" w:color="auto" w:sz="4" w:space="0"/>
              <w:right w:val="single" w:color="auto" w:sz="4" w:space="0"/>
            </w:tcBorders>
            <w:noWrap w:val="0"/>
            <w:vAlign w:val="center"/>
          </w:tcPr>
          <w:p w14:paraId="1F4F14A5">
            <w:pPr>
              <w:keepNext w:val="0"/>
              <w:keepLines w:val="0"/>
              <w:pageBreakBefore w:val="0"/>
              <w:suppressLineNumbers w:val="0"/>
              <w:kinsoku/>
              <w:wordWrap/>
              <w:topLinePunct w:val="0"/>
              <w:autoSpaceDE/>
              <w:autoSpaceDN/>
              <w:bidi w:val="0"/>
              <w:adjustRightInd/>
              <w:snapToGrid/>
              <w:spacing w:before="0" w:beforeAutospacing="0" w:after="0" w:afterAutospacing="0" w:line="500" w:lineRule="exact"/>
              <w:ind w:left="0" w:leftChars="0" w:right="0" w:rightChars="0"/>
              <w:jc w:val="center"/>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i w:val="0"/>
                <w:iCs w:val="0"/>
                <w:color w:val="000000"/>
                <w:sz w:val="21"/>
                <w:szCs w:val="21"/>
                <w:highlight w:val="none"/>
                <w:u w:val="none"/>
                <w:lang w:val="en-US" w:eastAsia="zh-CN"/>
              </w:rPr>
              <w:t>逐年提高</w:t>
            </w:r>
          </w:p>
        </w:tc>
        <w:tc>
          <w:tcPr>
            <w:tcW w:w="1537" w:type="dxa"/>
            <w:tcBorders>
              <w:top w:val="single" w:color="auto" w:sz="4" w:space="0"/>
              <w:left w:val="single" w:color="auto" w:sz="4" w:space="0"/>
              <w:bottom w:val="single" w:color="auto" w:sz="4" w:space="0"/>
              <w:right w:val="single" w:color="auto" w:sz="4" w:space="0"/>
            </w:tcBorders>
            <w:noWrap w:val="0"/>
            <w:vAlign w:val="center"/>
          </w:tcPr>
          <w:p w14:paraId="3BA3EF1C">
            <w:pPr>
              <w:keepNext w:val="0"/>
              <w:keepLines w:val="0"/>
              <w:pageBreakBefore w:val="0"/>
              <w:suppressLineNumbers w:val="0"/>
              <w:kinsoku/>
              <w:wordWrap/>
              <w:topLinePunct w:val="0"/>
              <w:autoSpaceDE/>
              <w:autoSpaceDN/>
              <w:bidi w:val="0"/>
              <w:adjustRightInd/>
              <w:snapToGrid/>
              <w:spacing w:before="0" w:beforeAutospacing="0" w:after="0" w:afterAutospacing="0" w:line="500" w:lineRule="exact"/>
              <w:ind w:left="0" w:leftChars="0" w:right="0" w:rightChars="0"/>
              <w:jc w:val="center"/>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i w:val="0"/>
                <w:iCs w:val="0"/>
                <w:color w:val="000000"/>
                <w:sz w:val="21"/>
                <w:szCs w:val="21"/>
                <w:highlight w:val="none"/>
                <w:u w:val="none"/>
                <w:lang w:val="en-US" w:eastAsia="zh-CN"/>
              </w:rPr>
              <w:t>逐年提高</w:t>
            </w:r>
          </w:p>
        </w:tc>
      </w:tr>
    </w:tbl>
    <w:p w14:paraId="31611D0C">
      <w:pPr>
        <w:pStyle w:val="11"/>
        <w:pageBreakBefore w:val="0"/>
        <w:kinsoku/>
        <w:wordWrap/>
        <w:overflowPunct w:val="0"/>
        <w:topLinePunct w:val="0"/>
        <w:autoSpaceDE/>
        <w:autoSpaceDN/>
        <w:bidi w:val="0"/>
        <w:spacing w:line="560" w:lineRule="exact"/>
        <w:ind w:firstLine="0" w:firstLineChars="0"/>
        <w:jc w:val="left"/>
        <w:rPr>
          <w:rFonts w:hint="default" w:ascii="Times New Roman" w:hAnsi="Times New Roman" w:eastAsia="仿宋_GB2312" w:cs="Times New Roman"/>
          <w:color w:val="auto"/>
          <w:kern w:val="0"/>
          <w:sz w:val="24"/>
          <w:szCs w:val="24"/>
          <w:highlight w:val="none"/>
          <w:u w:val="none"/>
          <w:shd w:val="clear" w:color="auto" w:fill="FFFFFF"/>
        </w:rPr>
        <w:sectPr>
          <w:pgSz w:w="11906" w:h="16838"/>
          <w:pgMar w:top="2098" w:right="1474" w:bottom="1871" w:left="1587" w:header="851" w:footer="992" w:gutter="0"/>
          <w:pgNumType w:fmt="numberInDash"/>
          <w:cols w:space="0" w:num="1"/>
          <w:rtlGutter w:val="0"/>
          <w:docGrid w:type="lines" w:linePitch="319" w:charSpace="0"/>
        </w:sectPr>
      </w:pPr>
    </w:p>
    <w:p w14:paraId="2EDEE876">
      <w:pPr>
        <w:pageBreakBefore w:val="0"/>
        <w:kinsoku/>
        <w:wordWrap/>
        <w:overflowPunct w:val="0"/>
        <w:topLinePunct w:val="0"/>
        <w:autoSpaceDE/>
        <w:autoSpaceDN/>
        <w:bidi w:val="0"/>
        <w:spacing w:line="560" w:lineRule="exact"/>
        <w:jc w:val="left"/>
        <w:rPr>
          <w:rFonts w:hint="default" w:ascii="Times New Roman" w:hAnsi="Times New Roman" w:eastAsia="黑体" w:cs="Times New Roman"/>
          <w:b w:val="0"/>
          <w:bCs w:val="0"/>
          <w:color w:val="auto"/>
          <w:sz w:val="32"/>
          <w:szCs w:val="32"/>
          <w:highlight w:val="none"/>
          <w:lang w:val="en-US" w:eastAsia="zh-CN"/>
        </w:rPr>
      </w:pPr>
      <w:r>
        <w:rPr>
          <w:rFonts w:hint="default" w:ascii="Times New Roman" w:hAnsi="Times New Roman" w:eastAsia="黑体" w:cs="Times New Roman"/>
          <w:b w:val="0"/>
          <w:bCs w:val="0"/>
          <w:color w:val="auto"/>
          <w:sz w:val="32"/>
          <w:szCs w:val="32"/>
          <w:highlight w:val="none"/>
          <w:lang w:val="en-US" w:eastAsia="zh-CN"/>
        </w:rPr>
        <w:t>附表3</w:t>
      </w:r>
    </w:p>
    <w:p w14:paraId="058184F3">
      <w:pPr>
        <w:pStyle w:val="11"/>
        <w:pageBreakBefore w:val="0"/>
        <w:kinsoku/>
        <w:wordWrap/>
        <w:overflowPunct w:val="0"/>
        <w:topLinePunct w:val="0"/>
        <w:autoSpaceDE/>
        <w:autoSpaceDN/>
        <w:bidi w:val="0"/>
        <w:spacing w:line="560" w:lineRule="exact"/>
        <w:ind w:firstLine="0" w:firstLineChars="0"/>
        <w:jc w:val="center"/>
        <w:rPr>
          <w:rFonts w:hint="eastAsia" w:ascii="方正小标宋简体" w:hAnsi="方正小标宋简体" w:eastAsia="方正小标宋简体" w:cs="方正小标宋简体"/>
          <w:b w:val="0"/>
          <w:bCs w:val="0"/>
          <w:color w:val="auto"/>
          <w:sz w:val="44"/>
          <w:szCs w:val="44"/>
          <w:highlight w:val="none"/>
          <w:u w:val="none"/>
        </w:rPr>
      </w:pPr>
      <w:r>
        <w:rPr>
          <w:rFonts w:hint="eastAsia" w:ascii="方正小标宋简体" w:hAnsi="方正小标宋简体" w:eastAsia="方正小标宋简体" w:cs="方正小标宋简体"/>
          <w:b w:val="0"/>
          <w:bCs w:val="0"/>
          <w:color w:val="auto"/>
          <w:sz w:val="44"/>
          <w:szCs w:val="44"/>
          <w:highlight w:val="none"/>
          <w:u w:val="none"/>
        </w:rPr>
        <w:t>乌拉特后旗推进公立医院改革与高质量发展提升项目任务清单</w:t>
      </w:r>
    </w:p>
    <w:p w14:paraId="04978BF2">
      <w:pPr>
        <w:pStyle w:val="11"/>
        <w:keepNext w:val="0"/>
        <w:keepLines w:val="0"/>
        <w:pageBreakBefore w:val="0"/>
        <w:widowControl w:val="0"/>
        <w:kinsoku/>
        <w:wordWrap/>
        <w:overflowPunct w:val="0"/>
        <w:topLinePunct w:val="0"/>
        <w:autoSpaceDE/>
        <w:autoSpaceDN/>
        <w:bidi w:val="0"/>
        <w:adjustRightInd/>
        <w:snapToGrid/>
        <w:spacing w:line="440" w:lineRule="exact"/>
        <w:ind w:firstLine="0" w:firstLineChars="0"/>
        <w:jc w:val="center"/>
        <w:textAlignment w:val="auto"/>
        <w:rPr>
          <w:rFonts w:hint="default" w:ascii="Times New Roman" w:hAnsi="Times New Roman" w:eastAsia="方正小标宋_GBK" w:cs="Times New Roman"/>
          <w:b w:val="0"/>
          <w:bCs w:val="0"/>
          <w:color w:val="auto"/>
          <w:sz w:val="44"/>
          <w:szCs w:val="44"/>
          <w:highlight w:val="none"/>
          <w:u w:val="none"/>
        </w:rPr>
      </w:pPr>
    </w:p>
    <w:tbl>
      <w:tblPr>
        <w:tblStyle w:val="8"/>
        <w:tblW w:w="132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95"/>
        <w:gridCol w:w="2005"/>
        <w:gridCol w:w="6133"/>
        <w:gridCol w:w="2126"/>
        <w:gridCol w:w="1402"/>
      </w:tblGrid>
      <w:tr w14:paraId="52D12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595" w:type="dxa"/>
            <w:vAlign w:val="center"/>
          </w:tcPr>
          <w:p w14:paraId="62369150">
            <w:pPr>
              <w:keepNext w:val="0"/>
              <w:keepLines w:val="0"/>
              <w:widowControl/>
              <w:suppressLineNumbers w:val="0"/>
              <w:spacing w:before="0" w:beforeAutospacing="0" w:after="0" w:afterAutospacing="0"/>
              <w:ind w:left="0" w:right="0"/>
              <w:jc w:val="center"/>
              <w:textAlignment w:val="center"/>
              <w:rPr>
                <w:rFonts w:hint="eastAsia" w:ascii="黑体" w:hAnsi="黑体" w:eastAsia="黑体" w:cs="黑体"/>
                <w:b w:val="0"/>
                <w:bCs w:val="0"/>
                <w:color w:val="auto"/>
                <w:kern w:val="0"/>
                <w:sz w:val="24"/>
                <w:szCs w:val="24"/>
                <w:highlight w:val="none"/>
                <w:u w:val="none"/>
                <w:shd w:val="clear" w:color="auto" w:fill="FFFFFF"/>
                <w:vertAlign w:val="baseline"/>
              </w:rPr>
            </w:pPr>
            <w:r>
              <w:rPr>
                <w:rFonts w:hint="eastAsia" w:ascii="黑体" w:hAnsi="黑体" w:eastAsia="黑体" w:cs="黑体"/>
                <w:b w:val="0"/>
                <w:bCs w:val="0"/>
                <w:i w:val="0"/>
                <w:iCs w:val="0"/>
                <w:color w:val="000000"/>
                <w:kern w:val="0"/>
                <w:sz w:val="24"/>
                <w:szCs w:val="24"/>
                <w:u w:val="none"/>
                <w:lang w:val="en-US" w:eastAsia="zh-CN" w:bidi="ar"/>
              </w:rPr>
              <w:t>一级指标</w:t>
            </w:r>
          </w:p>
        </w:tc>
        <w:tc>
          <w:tcPr>
            <w:tcW w:w="2005" w:type="dxa"/>
            <w:vAlign w:val="center"/>
          </w:tcPr>
          <w:p w14:paraId="609A78BB">
            <w:pPr>
              <w:keepNext w:val="0"/>
              <w:keepLines w:val="0"/>
              <w:widowControl/>
              <w:suppressLineNumbers w:val="0"/>
              <w:spacing w:before="0" w:beforeAutospacing="0" w:after="0" w:afterAutospacing="0"/>
              <w:ind w:left="0" w:right="0"/>
              <w:jc w:val="center"/>
              <w:textAlignment w:val="center"/>
              <w:rPr>
                <w:rFonts w:hint="eastAsia" w:ascii="黑体" w:hAnsi="黑体" w:eastAsia="黑体" w:cs="黑体"/>
                <w:b w:val="0"/>
                <w:bCs w:val="0"/>
                <w:color w:val="auto"/>
                <w:kern w:val="0"/>
                <w:sz w:val="24"/>
                <w:szCs w:val="24"/>
                <w:highlight w:val="none"/>
                <w:u w:val="none"/>
                <w:shd w:val="clear" w:color="auto" w:fill="FFFFFF"/>
                <w:vertAlign w:val="baseline"/>
              </w:rPr>
            </w:pPr>
            <w:r>
              <w:rPr>
                <w:rFonts w:hint="eastAsia" w:ascii="黑体" w:hAnsi="黑体" w:eastAsia="黑体" w:cs="黑体"/>
                <w:b w:val="0"/>
                <w:bCs w:val="0"/>
                <w:i w:val="0"/>
                <w:iCs w:val="0"/>
                <w:color w:val="000000"/>
                <w:kern w:val="0"/>
                <w:sz w:val="24"/>
                <w:szCs w:val="24"/>
                <w:u w:val="none"/>
                <w:lang w:val="en-US" w:eastAsia="zh-CN" w:bidi="ar"/>
              </w:rPr>
              <w:t>二级指标</w:t>
            </w:r>
          </w:p>
        </w:tc>
        <w:tc>
          <w:tcPr>
            <w:tcW w:w="6133" w:type="dxa"/>
            <w:vAlign w:val="center"/>
          </w:tcPr>
          <w:p w14:paraId="59ECA251">
            <w:pPr>
              <w:keepNext w:val="0"/>
              <w:keepLines w:val="0"/>
              <w:widowControl/>
              <w:suppressLineNumbers w:val="0"/>
              <w:spacing w:before="0" w:beforeAutospacing="0" w:after="0" w:afterAutospacing="0"/>
              <w:ind w:left="0" w:right="0"/>
              <w:jc w:val="center"/>
              <w:textAlignment w:val="center"/>
              <w:rPr>
                <w:rFonts w:hint="eastAsia" w:ascii="黑体" w:hAnsi="黑体" w:eastAsia="黑体" w:cs="黑体"/>
                <w:b w:val="0"/>
                <w:bCs w:val="0"/>
                <w:color w:val="auto"/>
                <w:kern w:val="0"/>
                <w:sz w:val="24"/>
                <w:szCs w:val="24"/>
                <w:highlight w:val="none"/>
                <w:u w:val="none"/>
                <w:shd w:val="clear" w:color="auto" w:fill="FFFFFF"/>
                <w:vertAlign w:val="baseline"/>
              </w:rPr>
            </w:pPr>
            <w:r>
              <w:rPr>
                <w:rFonts w:hint="eastAsia" w:ascii="黑体" w:hAnsi="黑体" w:eastAsia="黑体" w:cs="黑体"/>
                <w:b w:val="0"/>
                <w:bCs w:val="0"/>
                <w:i w:val="0"/>
                <w:iCs w:val="0"/>
                <w:color w:val="000000"/>
                <w:kern w:val="0"/>
                <w:sz w:val="24"/>
                <w:szCs w:val="24"/>
                <w:u w:val="none"/>
                <w:lang w:val="en-US" w:eastAsia="zh-CN" w:bidi="ar"/>
              </w:rPr>
              <w:t>主要内容</w:t>
            </w:r>
          </w:p>
        </w:tc>
        <w:tc>
          <w:tcPr>
            <w:tcW w:w="2126" w:type="dxa"/>
            <w:vAlign w:val="center"/>
          </w:tcPr>
          <w:p w14:paraId="2D1130F7">
            <w:pPr>
              <w:keepNext w:val="0"/>
              <w:keepLines w:val="0"/>
              <w:widowControl/>
              <w:suppressLineNumbers w:val="0"/>
              <w:spacing w:before="0" w:beforeAutospacing="0" w:after="0" w:afterAutospacing="0"/>
              <w:ind w:left="0" w:right="0"/>
              <w:jc w:val="center"/>
              <w:textAlignment w:val="center"/>
              <w:rPr>
                <w:rFonts w:hint="eastAsia" w:ascii="黑体" w:hAnsi="黑体" w:eastAsia="黑体" w:cs="黑体"/>
                <w:b w:val="0"/>
                <w:bCs w:val="0"/>
                <w:color w:val="auto"/>
                <w:kern w:val="0"/>
                <w:sz w:val="24"/>
                <w:szCs w:val="24"/>
                <w:highlight w:val="none"/>
                <w:u w:val="none"/>
                <w:shd w:val="clear" w:color="auto" w:fill="FFFFFF"/>
                <w:vertAlign w:val="baseline"/>
              </w:rPr>
            </w:pPr>
            <w:r>
              <w:rPr>
                <w:rFonts w:hint="eastAsia" w:ascii="黑体" w:hAnsi="黑体" w:eastAsia="黑体" w:cs="黑体"/>
                <w:b w:val="0"/>
                <w:bCs w:val="0"/>
                <w:i w:val="0"/>
                <w:iCs w:val="0"/>
                <w:color w:val="000000"/>
                <w:kern w:val="0"/>
                <w:sz w:val="24"/>
                <w:szCs w:val="24"/>
                <w:u w:val="none"/>
                <w:lang w:val="en-US" w:eastAsia="zh-CN" w:bidi="ar"/>
              </w:rPr>
              <w:t>责任单位</w:t>
            </w:r>
          </w:p>
        </w:tc>
        <w:tc>
          <w:tcPr>
            <w:tcW w:w="1402" w:type="dxa"/>
            <w:vAlign w:val="center"/>
          </w:tcPr>
          <w:p w14:paraId="7DCC9C25">
            <w:pPr>
              <w:keepNext w:val="0"/>
              <w:keepLines w:val="0"/>
              <w:widowControl/>
              <w:suppressLineNumbers w:val="0"/>
              <w:spacing w:before="0" w:beforeAutospacing="0" w:after="0" w:afterAutospacing="0"/>
              <w:ind w:left="0" w:right="0"/>
              <w:jc w:val="center"/>
              <w:textAlignment w:val="center"/>
              <w:rPr>
                <w:rFonts w:hint="eastAsia" w:ascii="黑体" w:hAnsi="黑体" w:eastAsia="黑体" w:cs="黑体"/>
                <w:b w:val="0"/>
                <w:bCs w:val="0"/>
                <w:color w:val="auto"/>
                <w:kern w:val="0"/>
                <w:sz w:val="24"/>
                <w:szCs w:val="24"/>
                <w:highlight w:val="none"/>
                <w:u w:val="none"/>
                <w:shd w:val="clear" w:color="auto" w:fill="FFFFFF"/>
                <w:vertAlign w:val="baseline"/>
              </w:rPr>
            </w:pPr>
            <w:r>
              <w:rPr>
                <w:rFonts w:hint="eastAsia" w:ascii="黑体" w:hAnsi="黑体" w:eastAsia="黑体" w:cs="黑体"/>
                <w:b w:val="0"/>
                <w:bCs w:val="0"/>
                <w:i w:val="0"/>
                <w:iCs w:val="0"/>
                <w:color w:val="000000"/>
                <w:kern w:val="0"/>
                <w:sz w:val="24"/>
                <w:szCs w:val="24"/>
                <w:u w:val="none"/>
                <w:lang w:val="en-US" w:eastAsia="zh-CN" w:bidi="ar"/>
              </w:rPr>
              <w:t>完成时限</w:t>
            </w:r>
          </w:p>
        </w:tc>
      </w:tr>
      <w:tr w14:paraId="38B3F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0" w:hRule="atLeast"/>
          <w:jc w:val="center"/>
        </w:trPr>
        <w:tc>
          <w:tcPr>
            <w:tcW w:w="1595" w:type="dxa"/>
            <w:vMerge w:val="restart"/>
            <w:vAlign w:val="center"/>
          </w:tcPr>
          <w:p w14:paraId="218DD13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highlight w:val="none"/>
                <w:u w:val="none"/>
                <w:lang w:val="en-US" w:eastAsia="zh-CN" w:bidi="ar"/>
              </w:rPr>
              <w:t>深化以公益性为导向的公立医院改革</w:t>
            </w:r>
          </w:p>
        </w:tc>
        <w:tc>
          <w:tcPr>
            <w:tcW w:w="2005" w:type="dxa"/>
            <w:vAlign w:val="center"/>
          </w:tcPr>
          <w:p w14:paraId="4330B04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highlight w:val="none"/>
                <w:u w:val="none"/>
                <w:lang w:val="en-US" w:eastAsia="zh-CN" w:bidi="ar"/>
              </w:rPr>
              <w:t>建立党政主抓的推动机制</w:t>
            </w:r>
          </w:p>
        </w:tc>
        <w:tc>
          <w:tcPr>
            <w:tcW w:w="6133" w:type="dxa"/>
            <w:vAlign w:val="center"/>
          </w:tcPr>
          <w:p w14:paraId="0110916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highlight w:val="none"/>
                <w:u w:val="none"/>
                <w:lang w:val="en-US" w:eastAsia="zh-CN" w:bidi="ar"/>
              </w:rPr>
              <w:t>旗委、旗政府主要负责同志抓医改、负总责，明确党委常委联系医改和卫生健康工作，政府领导统一分管 “三医” 工作，统筹协调人事编制薪酬、医保支付方式改革及医疗卫生服务体系建设各项工作。</w:t>
            </w:r>
          </w:p>
        </w:tc>
        <w:tc>
          <w:tcPr>
            <w:tcW w:w="2126" w:type="dxa"/>
            <w:vAlign w:val="center"/>
          </w:tcPr>
          <w:p w14:paraId="68BCE70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lang w:val="en-US"/>
              </w:rPr>
            </w:pPr>
            <w:r>
              <w:rPr>
                <w:rFonts w:hint="default" w:ascii="Times New Roman" w:hAnsi="Times New Roman" w:eastAsia="仿宋_GB2312" w:cs="Times New Roman"/>
                <w:i w:val="0"/>
                <w:iCs w:val="0"/>
                <w:color w:val="000000"/>
                <w:kern w:val="0"/>
                <w:sz w:val="21"/>
                <w:szCs w:val="21"/>
                <w:highlight w:val="none"/>
                <w:u w:val="none"/>
                <w:lang w:val="en-US" w:eastAsia="zh-CN" w:bidi="ar"/>
              </w:rPr>
              <w:t>旗委编办</w:t>
            </w:r>
            <w:r>
              <w:rPr>
                <w:rFonts w:hint="eastAsia" w:ascii="Times New Roman" w:hAnsi="Times New Roman" w:eastAsia="仿宋_GB2312" w:cs="Times New Roman"/>
                <w:i w:val="0"/>
                <w:iCs w:val="0"/>
                <w:color w:val="000000"/>
                <w:kern w:val="0"/>
                <w:sz w:val="21"/>
                <w:szCs w:val="21"/>
                <w:highlight w:val="none"/>
                <w:u w:val="none"/>
                <w:lang w:val="en-US" w:eastAsia="zh-CN" w:bidi="ar"/>
              </w:rPr>
              <w:t>，旗</w:t>
            </w:r>
            <w:r>
              <w:rPr>
                <w:rFonts w:hint="default" w:ascii="Times New Roman" w:hAnsi="Times New Roman" w:eastAsia="仿宋_GB2312" w:cs="Times New Roman"/>
                <w:i w:val="0"/>
                <w:iCs w:val="0"/>
                <w:color w:val="000000"/>
                <w:kern w:val="0"/>
                <w:sz w:val="21"/>
                <w:szCs w:val="21"/>
                <w:highlight w:val="none"/>
                <w:u w:val="none"/>
                <w:lang w:val="en-US" w:eastAsia="zh-CN" w:bidi="ar"/>
              </w:rPr>
              <w:t>发改委、财政局、人社局、市监局、卫健委、医保局</w:t>
            </w:r>
          </w:p>
        </w:tc>
        <w:tc>
          <w:tcPr>
            <w:tcW w:w="1402" w:type="dxa"/>
            <w:vAlign w:val="center"/>
          </w:tcPr>
          <w:p w14:paraId="3935461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highlight w:val="none"/>
                <w:u w:val="none"/>
                <w:lang w:val="en-US" w:eastAsia="zh-CN" w:bidi="ar"/>
              </w:rPr>
              <w:t>2026年12月</w:t>
            </w:r>
          </w:p>
        </w:tc>
      </w:tr>
      <w:tr w14:paraId="6D5F3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5" w:type="dxa"/>
            <w:vMerge w:val="continue"/>
            <w:vAlign w:val="center"/>
          </w:tcPr>
          <w:p w14:paraId="2429FE5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rPr>
                <w:rFonts w:hint="default" w:ascii="Times New Roman" w:hAnsi="Times New Roman" w:eastAsia="仿宋_GB2312" w:cs="Times New Roman"/>
                <w:color w:val="auto"/>
                <w:kern w:val="0"/>
                <w:sz w:val="21"/>
                <w:szCs w:val="21"/>
                <w:highlight w:val="none"/>
                <w:u w:val="none"/>
                <w:shd w:val="clear" w:color="auto" w:fill="FFFFFF"/>
                <w:vertAlign w:val="baseline"/>
              </w:rPr>
            </w:pPr>
          </w:p>
        </w:tc>
        <w:tc>
          <w:tcPr>
            <w:tcW w:w="2005" w:type="dxa"/>
            <w:vAlign w:val="center"/>
          </w:tcPr>
          <w:p w14:paraId="36D89C8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highlight w:val="none"/>
                <w:u w:val="none"/>
                <w:lang w:val="en-US" w:eastAsia="zh-CN" w:bidi="ar"/>
              </w:rPr>
              <w:t>健全协同联动会商机制</w:t>
            </w:r>
          </w:p>
        </w:tc>
        <w:tc>
          <w:tcPr>
            <w:tcW w:w="6133" w:type="dxa"/>
            <w:vAlign w:val="center"/>
          </w:tcPr>
          <w:p w14:paraId="0772DDD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auto"/>
                <w:kern w:val="0"/>
                <w:sz w:val="21"/>
                <w:szCs w:val="21"/>
                <w:highlight w:val="none"/>
                <w:u w:val="none"/>
                <w:lang w:val="en-US" w:eastAsia="zh-CN" w:bidi="ar"/>
              </w:rPr>
              <w:t>落实市级 “三医” 协同 “六方” 联动专项改革工作要求，建立旗级跨部门会商机制，强化数据共享和监管，及时研判、解决改革推进中的难点堵点问题；对照市级医改工作清单，结合我旗实际分年度制定任务、细化量化指标，“清单式” 推进医改落地。</w:t>
            </w:r>
          </w:p>
        </w:tc>
        <w:tc>
          <w:tcPr>
            <w:tcW w:w="2126" w:type="dxa"/>
            <w:vAlign w:val="center"/>
          </w:tcPr>
          <w:p w14:paraId="3F16776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leftChars="0" w:right="0" w:rightChars="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lang w:val="en-US"/>
              </w:rPr>
            </w:pPr>
            <w:r>
              <w:rPr>
                <w:rFonts w:hint="default" w:ascii="Times New Roman" w:hAnsi="Times New Roman" w:eastAsia="仿宋_GB2312" w:cs="Times New Roman"/>
                <w:i w:val="0"/>
                <w:iCs w:val="0"/>
                <w:color w:val="000000"/>
                <w:kern w:val="0"/>
                <w:sz w:val="21"/>
                <w:szCs w:val="21"/>
                <w:highlight w:val="none"/>
                <w:u w:val="none"/>
                <w:lang w:val="en-US" w:eastAsia="zh-CN" w:bidi="ar"/>
              </w:rPr>
              <w:t>旗委编办</w:t>
            </w:r>
            <w:r>
              <w:rPr>
                <w:rFonts w:hint="eastAsia" w:ascii="Times New Roman" w:hAnsi="Times New Roman" w:eastAsia="仿宋_GB2312" w:cs="Times New Roman"/>
                <w:i w:val="0"/>
                <w:iCs w:val="0"/>
                <w:color w:val="000000"/>
                <w:kern w:val="0"/>
                <w:sz w:val="21"/>
                <w:szCs w:val="21"/>
                <w:highlight w:val="none"/>
                <w:u w:val="none"/>
                <w:lang w:val="en-US" w:eastAsia="zh-CN" w:bidi="ar"/>
              </w:rPr>
              <w:t>，旗</w:t>
            </w:r>
            <w:r>
              <w:rPr>
                <w:rFonts w:hint="default" w:ascii="Times New Roman" w:hAnsi="Times New Roman" w:eastAsia="仿宋_GB2312" w:cs="Times New Roman"/>
                <w:i w:val="0"/>
                <w:iCs w:val="0"/>
                <w:color w:val="000000"/>
                <w:kern w:val="0"/>
                <w:sz w:val="21"/>
                <w:szCs w:val="21"/>
                <w:highlight w:val="none"/>
                <w:u w:val="none"/>
                <w:lang w:val="en-US" w:eastAsia="zh-CN" w:bidi="ar"/>
              </w:rPr>
              <w:t>财政局、人社局、市监局、卫健委、医保局</w:t>
            </w:r>
          </w:p>
        </w:tc>
        <w:tc>
          <w:tcPr>
            <w:tcW w:w="1402" w:type="dxa"/>
            <w:vAlign w:val="center"/>
          </w:tcPr>
          <w:p w14:paraId="5F0025E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highlight w:val="none"/>
                <w:u w:val="none"/>
                <w:lang w:val="en-US" w:eastAsia="zh-CN" w:bidi="ar"/>
              </w:rPr>
              <w:t>2027年9月</w:t>
            </w:r>
          </w:p>
        </w:tc>
      </w:tr>
      <w:tr w14:paraId="23C63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5" w:type="dxa"/>
            <w:vMerge w:val="continue"/>
            <w:vAlign w:val="center"/>
          </w:tcPr>
          <w:p w14:paraId="645D16A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rPr>
                <w:rFonts w:hint="default" w:ascii="Times New Roman" w:hAnsi="Times New Roman" w:eastAsia="仿宋_GB2312" w:cs="Times New Roman"/>
                <w:color w:val="auto"/>
                <w:kern w:val="0"/>
                <w:sz w:val="21"/>
                <w:szCs w:val="21"/>
                <w:highlight w:val="none"/>
                <w:u w:val="none"/>
                <w:shd w:val="clear" w:color="auto" w:fill="FFFFFF"/>
                <w:vertAlign w:val="baseline"/>
              </w:rPr>
            </w:pPr>
          </w:p>
        </w:tc>
        <w:tc>
          <w:tcPr>
            <w:tcW w:w="2005" w:type="dxa"/>
            <w:vMerge w:val="restart"/>
            <w:vAlign w:val="center"/>
          </w:tcPr>
          <w:p w14:paraId="6328B0C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highlight w:val="none"/>
                <w:u w:val="none"/>
                <w:lang w:val="en-US" w:eastAsia="zh-CN" w:bidi="ar"/>
              </w:rPr>
              <w:t>强化政府办医主体责任</w:t>
            </w:r>
          </w:p>
        </w:tc>
        <w:tc>
          <w:tcPr>
            <w:tcW w:w="6133" w:type="dxa"/>
            <w:vAlign w:val="center"/>
          </w:tcPr>
          <w:p w14:paraId="05CEE88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auto"/>
                <w:kern w:val="0"/>
                <w:sz w:val="21"/>
                <w:szCs w:val="21"/>
                <w:highlight w:val="none"/>
                <w:u w:val="none"/>
                <w:lang w:val="en-US" w:eastAsia="zh-CN" w:bidi="ar"/>
              </w:rPr>
              <w:t>坚持政府在提供公共卫生和基本医疗服务中的主导地位，制定并实施公立医院财政补助办法，健全常态化、稳定可持续的卫生健康事业经费投入机制。</w:t>
            </w:r>
          </w:p>
        </w:tc>
        <w:tc>
          <w:tcPr>
            <w:tcW w:w="2126" w:type="dxa"/>
            <w:vAlign w:val="center"/>
          </w:tcPr>
          <w:p w14:paraId="6889644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lang w:val="en-US"/>
              </w:rPr>
            </w:pPr>
            <w:r>
              <w:rPr>
                <w:rFonts w:hint="eastAsia" w:ascii="Times New Roman" w:hAnsi="Times New Roman" w:eastAsia="仿宋_GB2312" w:cs="Times New Roman"/>
                <w:i w:val="0"/>
                <w:iCs w:val="0"/>
                <w:color w:val="000000"/>
                <w:kern w:val="0"/>
                <w:sz w:val="21"/>
                <w:szCs w:val="21"/>
                <w:highlight w:val="none"/>
                <w:u w:val="none"/>
                <w:lang w:val="en-US" w:eastAsia="zh-CN" w:bidi="ar"/>
              </w:rPr>
              <w:t>旗</w:t>
            </w:r>
            <w:r>
              <w:rPr>
                <w:rFonts w:hint="default" w:ascii="Times New Roman" w:hAnsi="Times New Roman" w:eastAsia="仿宋_GB2312" w:cs="Times New Roman"/>
                <w:i w:val="0"/>
                <w:iCs w:val="0"/>
                <w:color w:val="000000"/>
                <w:kern w:val="0"/>
                <w:sz w:val="21"/>
                <w:szCs w:val="21"/>
                <w:highlight w:val="none"/>
                <w:u w:val="none"/>
                <w:lang w:val="en-US" w:eastAsia="zh-CN" w:bidi="ar"/>
              </w:rPr>
              <w:t>财政局、卫健委</w:t>
            </w:r>
          </w:p>
        </w:tc>
        <w:tc>
          <w:tcPr>
            <w:tcW w:w="1402" w:type="dxa"/>
            <w:vAlign w:val="center"/>
          </w:tcPr>
          <w:p w14:paraId="6146BE7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highlight w:val="none"/>
                <w:u w:val="none"/>
                <w:lang w:val="en-US" w:eastAsia="zh-CN" w:bidi="ar"/>
              </w:rPr>
              <w:t>2027年9月</w:t>
            </w:r>
          </w:p>
        </w:tc>
      </w:tr>
      <w:tr w14:paraId="78CA1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5" w:type="dxa"/>
            <w:vMerge w:val="continue"/>
            <w:vAlign w:val="center"/>
          </w:tcPr>
          <w:p w14:paraId="3B3F492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rPr>
                <w:rFonts w:hint="default" w:ascii="Times New Roman" w:hAnsi="Times New Roman" w:eastAsia="仿宋_GB2312" w:cs="Times New Roman"/>
                <w:color w:val="auto"/>
                <w:kern w:val="0"/>
                <w:sz w:val="21"/>
                <w:szCs w:val="21"/>
                <w:highlight w:val="none"/>
                <w:u w:val="none"/>
                <w:shd w:val="clear" w:color="auto" w:fill="FFFFFF"/>
                <w:vertAlign w:val="baseline"/>
              </w:rPr>
            </w:pPr>
          </w:p>
        </w:tc>
        <w:tc>
          <w:tcPr>
            <w:tcW w:w="2005" w:type="dxa"/>
            <w:vMerge w:val="continue"/>
            <w:vAlign w:val="center"/>
          </w:tcPr>
          <w:p w14:paraId="0404382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rPr>
                <w:rFonts w:hint="default" w:ascii="Times New Roman" w:hAnsi="Times New Roman" w:eastAsia="仿宋_GB2312" w:cs="Times New Roman"/>
                <w:color w:val="auto"/>
                <w:kern w:val="0"/>
                <w:sz w:val="21"/>
                <w:szCs w:val="21"/>
                <w:highlight w:val="none"/>
                <w:u w:val="none"/>
                <w:shd w:val="clear" w:color="auto" w:fill="FFFFFF"/>
                <w:vertAlign w:val="baseline"/>
              </w:rPr>
            </w:pPr>
          </w:p>
        </w:tc>
        <w:tc>
          <w:tcPr>
            <w:tcW w:w="6133" w:type="dxa"/>
            <w:vAlign w:val="center"/>
          </w:tcPr>
          <w:p w14:paraId="0AA4919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auto"/>
                <w:kern w:val="0"/>
                <w:sz w:val="21"/>
                <w:szCs w:val="21"/>
                <w:highlight w:val="none"/>
                <w:u w:val="none"/>
                <w:lang w:val="en-US" w:eastAsia="zh-CN" w:bidi="ar"/>
              </w:rPr>
              <w:t>加大公立医院六项投入力度，积极争取以旧换新、强基工程等项目、资金，缓解公立医院运行压力。</w:t>
            </w:r>
          </w:p>
        </w:tc>
        <w:tc>
          <w:tcPr>
            <w:tcW w:w="2126" w:type="dxa"/>
            <w:shd w:val="clear" w:color="auto" w:fill="auto"/>
            <w:vAlign w:val="center"/>
          </w:tcPr>
          <w:p w14:paraId="3E9C771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leftChars="0" w:right="0" w:rightChars="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lang w:val="en-US" w:eastAsia="zh-CN" w:bidi="ar-SA"/>
              </w:rPr>
            </w:pPr>
            <w:r>
              <w:rPr>
                <w:rFonts w:hint="eastAsia" w:ascii="Times New Roman" w:hAnsi="Times New Roman" w:eastAsia="仿宋_GB2312" w:cs="Times New Roman"/>
                <w:i w:val="0"/>
                <w:iCs w:val="0"/>
                <w:color w:val="000000"/>
                <w:kern w:val="0"/>
                <w:sz w:val="21"/>
                <w:szCs w:val="21"/>
                <w:highlight w:val="none"/>
                <w:u w:val="none"/>
                <w:lang w:val="en-US" w:eastAsia="zh-CN" w:bidi="ar"/>
              </w:rPr>
              <w:t>旗</w:t>
            </w:r>
            <w:r>
              <w:rPr>
                <w:rFonts w:hint="default" w:ascii="Times New Roman" w:hAnsi="Times New Roman" w:eastAsia="仿宋_GB2312" w:cs="Times New Roman"/>
                <w:i w:val="0"/>
                <w:iCs w:val="0"/>
                <w:color w:val="000000"/>
                <w:kern w:val="0"/>
                <w:sz w:val="21"/>
                <w:szCs w:val="21"/>
                <w:highlight w:val="none"/>
                <w:u w:val="none"/>
                <w:lang w:val="en-US" w:eastAsia="zh-CN" w:bidi="ar"/>
              </w:rPr>
              <w:t>财政局、卫健委、发改委</w:t>
            </w:r>
          </w:p>
        </w:tc>
        <w:tc>
          <w:tcPr>
            <w:tcW w:w="1402" w:type="dxa"/>
            <w:vAlign w:val="center"/>
          </w:tcPr>
          <w:p w14:paraId="01B32FB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highlight w:val="none"/>
                <w:u w:val="none"/>
                <w:lang w:val="en-US" w:eastAsia="zh-CN" w:bidi="ar"/>
              </w:rPr>
              <w:t>2027年9月</w:t>
            </w:r>
          </w:p>
        </w:tc>
      </w:tr>
      <w:tr w14:paraId="71D60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5" w:type="dxa"/>
            <w:vMerge w:val="restart"/>
            <w:vAlign w:val="center"/>
          </w:tcPr>
          <w:p w14:paraId="453998E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u w:val="none"/>
                <w:lang w:val="en-US" w:eastAsia="zh-CN" w:bidi="ar"/>
              </w:rPr>
              <w:t>促进形成有序就医格局</w:t>
            </w:r>
          </w:p>
        </w:tc>
        <w:tc>
          <w:tcPr>
            <w:tcW w:w="2005" w:type="dxa"/>
            <w:vAlign w:val="center"/>
          </w:tcPr>
          <w:p w14:paraId="6E5500D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u w:val="none"/>
                <w:lang w:val="en-US" w:eastAsia="zh-CN" w:bidi="ar"/>
              </w:rPr>
              <w:t>提升旗级医院专科服务能力</w:t>
            </w:r>
          </w:p>
        </w:tc>
        <w:tc>
          <w:tcPr>
            <w:tcW w:w="6133" w:type="dxa"/>
            <w:vAlign w:val="center"/>
          </w:tcPr>
          <w:p w14:paraId="137A0A2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u w:val="none"/>
                <w:lang w:val="en-US" w:eastAsia="zh-CN" w:bidi="ar"/>
              </w:rPr>
              <w:t>以旗人民医院为核心，围绕地方疾病谱和异地就医较多的恶性肿瘤、心脑血管等疾病，打造5个高水平临床专科，系统提升我旗在创伤、康复、麻醉、血管、消化等关键医疗领域的救治服务能力。立足旗人民医院、旗蒙医医院、妇幼功能定位，按照“统筹布局、差异化发展”的建设思路，以提升县域内常见病、多发病及急危重症救治能力为目标，全力配合市级要求打造相关临床专科，重点围绕重症医学科、创伤中心、卒中中心、呼吸与危重症医学科、普外科、微创外科、心血管内科、眼科等，提升旗县区12个临床专科服务能力，同步加强儿科和精神科建设，争取纳入市级临床重点专科建设范围，稳步提高县域内常见病、多发病就诊率。</w:t>
            </w:r>
          </w:p>
        </w:tc>
        <w:tc>
          <w:tcPr>
            <w:tcW w:w="2126" w:type="dxa"/>
            <w:vAlign w:val="center"/>
          </w:tcPr>
          <w:p w14:paraId="6FCA450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lang w:val="en-US"/>
              </w:rPr>
            </w:pPr>
            <w:r>
              <w:rPr>
                <w:rFonts w:hint="default" w:ascii="Times New Roman" w:hAnsi="Times New Roman" w:eastAsia="仿宋_GB2312" w:cs="Times New Roman"/>
                <w:i w:val="0"/>
                <w:iCs w:val="0"/>
                <w:color w:val="000000"/>
                <w:kern w:val="0"/>
                <w:sz w:val="21"/>
                <w:szCs w:val="21"/>
                <w:u w:val="none"/>
                <w:lang w:val="en-US" w:eastAsia="zh-CN" w:bidi="ar"/>
              </w:rPr>
              <w:t>旗人民医院、蒙医医院、妇幼计生服务中心</w:t>
            </w:r>
          </w:p>
        </w:tc>
        <w:tc>
          <w:tcPr>
            <w:tcW w:w="1402" w:type="dxa"/>
            <w:vAlign w:val="center"/>
          </w:tcPr>
          <w:p w14:paraId="05642D6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u w:val="none"/>
                <w:lang w:val="en-US" w:eastAsia="zh-CN" w:bidi="ar"/>
              </w:rPr>
              <w:t>2027年9月</w:t>
            </w:r>
          </w:p>
        </w:tc>
      </w:tr>
      <w:tr w14:paraId="78631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2" w:hRule="atLeast"/>
          <w:jc w:val="center"/>
        </w:trPr>
        <w:tc>
          <w:tcPr>
            <w:tcW w:w="1595" w:type="dxa"/>
            <w:vMerge w:val="continue"/>
            <w:vAlign w:val="center"/>
          </w:tcPr>
          <w:p w14:paraId="03DBB2B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rPr>
                <w:rFonts w:hint="default" w:ascii="Times New Roman" w:hAnsi="Times New Roman" w:eastAsia="仿宋_GB2312" w:cs="Times New Roman"/>
                <w:color w:val="auto"/>
                <w:kern w:val="0"/>
                <w:sz w:val="21"/>
                <w:szCs w:val="21"/>
                <w:highlight w:val="none"/>
                <w:u w:val="none"/>
                <w:shd w:val="clear" w:color="auto" w:fill="FFFFFF"/>
                <w:vertAlign w:val="baseline"/>
              </w:rPr>
            </w:pPr>
          </w:p>
        </w:tc>
        <w:tc>
          <w:tcPr>
            <w:tcW w:w="2005" w:type="dxa"/>
            <w:vAlign w:val="center"/>
          </w:tcPr>
          <w:p w14:paraId="00F50CE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u w:val="none"/>
                <w:lang w:val="en-US" w:eastAsia="zh-CN" w:bidi="ar"/>
              </w:rPr>
              <w:t>推动中医药（蒙医药）传承创新发展</w:t>
            </w:r>
          </w:p>
        </w:tc>
        <w:tc>
          <w:tcPr>
            <w:tcW w:w="6133" w:type="dxa"/>
            <w:vAlign w:val="center"/>
          </w:tcPr>
          <w:p w14:paraId="4670AE5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u w:val="none"/>
                <w:lang w:val="en-US" w:eastAsia="zh-CN" w:bidi="ar"/>
              </w:rPr>
              <w:t>发挥蒙医药在我旗慢性病、膝关节、外伤康复治疗中的独特优势，以旗蒙医医院为核心，打造蒙医康复优势专科，推广蒙医特色康复诊疗模式；按照市级部署，建设蒙医康复、心病、神志病、治未病、老年病等优势专科，加强与国际蒙医医院、巴彦淖尔市蒙医医院等上级医院的长期帮扶合作，全面提升旗蒙医医院专科水平。</w:t>
            </w:r>
          </w:p>
        </w:tc>
        <w:tc>
          <w:tcPr>
            <w:tcW w:w="2126" w:type="dxa"/>
            <w:vAlign w:val="center"/>
          </w:tcPr>
          <w:p w14:paraId="73C5881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lang w:val="en-US"/>
              </w:rPr>
            </w:pPr>
            <w:r>
              <w:rPr>
                <w:rFonts w:hint="default" w:ascii="Times New Roman" w:hAnsi="Times New Roman" w:eastAsia="仿宋_GB2312" w:cs="Times New Roman"/>
                <w:i w:val="0"/>
                <w:iCs w:val="0"/>
                <w:color w:val="000000"/>
                <w:kern w:val="0"/>
                <w:sz w:val="21"/>
                <w:szCs w:val="21"/>
                <w:u w:val="none"/>
                <w:lang w:val="en-US" w:eastAsia="zh-CN" w:bidi="ar"/>
              </w:rPr>
              <w:t>旗蒙医医院</w:t>
            </w:r>
          </w:p>
        </w:tc>
        <w:tc>
          <w:tcPr>
            <w:tcW w:w="1402" w:type="dxa"/>
            <w:vAlign w:val="center"/>
          </w:tcPr>
          <w:p w14:paraId="5439A30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u w:val="none"/>
                <w:lang w:val="en-US" w:eastAsia="zh-CN" w:bidi="ar"/>
              </w:rPr>
              <w:t>2027年9月</w:t>
            </w:r>
          </w:p>
        </w:tc>
      </w:tr>
      <w:tr w14:paraId="51D58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3" w:hRule="atLeast"/>
          <w:jc w:val="center"/>
        </w:trPr>
        <w:tc>
          <w:tcPr>
            <w:tcW w:w="1595" w:type="dxa"/>
            <w:vMerge w:val="continue"/>
            <w:vAlign w:val="center"/>
          </w:tcPr>
          <w:p w14:paraId="151EBE3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rPr>
                <w:rFonts w:hint="default" w:ascii="Times New Roman" w:hAnsi="Times New Roman" w:eastAsia="仿宋_GB2312" w:cs="Times New Roman"/>
                <w:color w:val="auto"/>
                <w:kern w:val="0"/>
                <w:sz w:val="21"/>
                <w:szCs w:val="21"/>
                <w:highlight w:val="none"/>
                <w:u w:val="none"/>
                <w:shd w:val="clear" w:color="auto" w:fill="FFFFFF"/>
                <w:vertAlign w:val="baseline"/>
              </w:rPr>
            </w:pPr>
          </w:p>
        </w:tc>
        <w:tc>
          <w:tcPr>
            <w:tcW w:w="2005" w:type="dxa"/>
            <w:vAlign w:val="center"/>
          </w:tcPr>
          <w:p w14:paraId="04EF6E9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u w:val="none"/>
                <w:lang w:val="en-US" w:eastAsia="zh-CN" w:bidi="ar"/>
              </w:rPr>
              <w:t>深化紧密型县域医共体内涵建设</w:t>
            </w:r>
          </w:p>
        </w:tc>
        <w:tc>
          <w:tcPr>
            <w:tcW w:w="6133" w:type="dxa"/>
            <w:vAlign w:val="center"/>
          </w:tcPr>
          <w:p w14:paraId="3B155B3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color w:val="auto"/>
                <w:kern w:val="0"/>
                <w:sz w:val="21"/>
                <w:szCs w:val="21"/>
                <w:highlight w:val="none"/>
                <w:u w:val="none"/>
                <w:shd w:val="clear" w:color="auto" w:fill="FFFFFF"/>
                <w:vertAlign w:val="baseline"/>
              </w:rPr>
              <w:t>全面落实市级紧密型县域医共体建设要求，推进</w:t>
            </w:r>
            <w:r>
              <w:rPr>
                <w:rFonts w:hint="default" w:ascii="Times New Roman" w:hAnsi="Times New Roman" w:eastAsia="仿宋_GB2312" w:cs="Times New Roman"/>
                <w:color w:val="auto"/>
                <w:kern w:val="0"/>
                <w:sz w:val="21"/>
                <w:szCs w:val="21"/>
                <w:highlight w:val="none"/>
                <w:u w:val="none"/>
                <w:shd w:val="clear" w:color="auto" w:fill="FFFFFF"/>
                <w:vertAlign w:val="baseline"/>
                <w:lang w:val="en-US" w:eastAsia="zh-CN"/>
              </w:rPr>
              <w:t>以</w:t>
            </w:r>
            <w:r>
              <w:rPr>
                <w:rFonts w:hint="default" w:ascii="Times New Roman" w:hAnsi="Times New Roman" w:eastAsia="仿宋_GB2312" w:cs="Times New Roman"/>
                <w:color w:val="auto"/>
                <w:kern w:val="0"/>
                <w:sz w:val="21"/>
                <w:szCs w:val="21"/>
                <w:highlight w:val="none"/>
                <w:u w:val="none"/>
                <w:shd w:val="clear" w:color="auto" w:fill="FFFFFF"/>
                <w:vertAlign w:val="baseline"/>
              </w:rPr>
              <w:t xml:space="preserve"> “七统一” 为重点的医共体一体化运营管理，</w:t>
            </w:r>
            <w:r>
              <w:rPr>
                <w:rFonts w:hint="default" w:ascii="Times New Roman" w:hAnsi="Times New Roman" w:eastAsia="仿宋_GB2312" w:cs="Times New Roman"/>
                <w:i w:val="0"/>
                <w:iCs w:val="0"/>
                <w:color w:val="000000"/>
                <w:kern w:val="0"/>
                <w:sz w:val="21"/>
                <w:szCs w:val="21"/>
                <w:highlight w:val="none"/>
                <w:u w:val="none"/>
                <w:lang w:val="en-US" w:eastAsia="zh-CN" w:bidi="ar"/>
              </w:rPr>
              <w:t>完善医共体管理服务体制和实质化运行机制，提升医共体信息平台的业务协同和数据共享能力，深化转诊服务中心、协同门诊功能，加强中心药房和审方中心建设，强化医共体资源共享五大中心运营效能，发挥好医共体培训中心、健康管理中心作用，构建“防、筛、诊、治、康、管”全链条健康管理模式。</w:t>
            </w:r>
            <w:r>
              <w:rPr>
                <w:rFonts w:hint="default" w:ascii="Times New Roman" w:hAnsi="Times New Roman" w:eastAsia="仿宋_GB2312" w:cs="Times New Roman"/>
                <w:color w:val="auto"/>
                <w:kern w:val="0"/>
                <w:sz w:val="21"/>
                <w:szCs w:val="21"/>
                <w:highlight w:val="none"/>
                <w:u w:val="none"/>
                <w:shd w:val="clear" w:color="auto" w:fill="FFFFFF"/>
                <w:vertAlign w:val="baseline"/>
              </w:rPr>
              <w:t>深化 “基层检查、县级诊断、结果互认” 的县域诊疗服务模式，让群众就近享有优质医疗服务；积极对接市级紧密型城市医疗集团，承接号源下放、专家帮扶等资源，实现上下联动、资源共享。</w:t>
            </w:r>
          </w:p>
        </w:tc>
        <w:tc>
          <w:tcPr>
            <w:tcW w:w="2126" w:type="dxa"/>
            <w:vAlign w:val="center"/>
          </w:tcPr>
          <w:p w14:paraId="1918840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lang w:val="en-US" w:eastAsia="zh-CN"/>
              </w:rPr>
            </w:pPr>
            <w:r>
              <w:rPr>
                <w:rFonts w:hint="default" w:ascii="Times New Roman" w:hAnsi="Times New Roman" w:eastAsia="仿宋_GB2312" w:cs="Times New Roman"/>
                <w:color w:val="auto"/>
                <w:kern w:val="0"/>
                <w:sz w:val="21"/>
                <w:szCs w:val="21"/>
                <w:highlight w:val="none"/>
                <w:u w:val="none"/>
                <w:shd w:val="clear" w:color="auto" w:fill="FFFFFF"/>
                <w:vertAlign w:val="baseline"/>
                <w:lang w:val="en-US" w:eastAsia="zh-CN"/>
              </w:rPr>
              <w:t>旗人民医院、蒙医医院</w:t>
            </w:r>
            <w:r>
              <w:rPr>
                <w:rFonts w:hint="default" w:ascii="Times New Roman" w:hAnsi="Times New Roman" w:eastAsia="仿宋_GB2312" w:cs="Times New Roman"/>
                <w:i w:val="0"/>
                <w:iCs w:val="0"/>
                <w:color w:val="000000"/>
                <w:kern w:val="0"/>
                <w:sz w:val="21"/>
                <w:szCs w:val="21"/>
                <w:u w:val="none"/>
                <w:lang w:val="en-US" w:eastAsia="zh-CN" w:bidi="ar"/>
              </w:rPr>
              <w:t>、妇幼计生服务中心及各基层卫生院</w:t>
            </w:r>
          </w:p>
        </w:tc>
        <w:tc>
          <w:tcPr>
            <w:tcW w:w="1402" w:type="dxa"/>
            <w:vAlign w:val="center"/>
          </w:tcPr>
          <w:p w14:paraId="2A1F2B9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highlight w:val="none"/>
                <w:u w:val="none"/>
                <w:lang w:val="en-US" w:eastAsia="zh-CN" w:bidi="ar"/>
              </w:rPr>
              <w:t>2027年9月</w:t>
            </w:r>
          </w:p>
        </w:tc>
      </w:tr>
      <w:tr w14:paraId="0DCF6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9" w:hRule="atLeast"/>
          <w:jc w:val="center"/>
        </w:trPr>
        <w:tc>
          <w:tcPr>
            <w:tcW w:w="1595" w:type="dxa"/>
            <w:vMerge w:val="continue"/>
            <w:vAlign w:val="center"/>
          </w:tcPr>
          <w:p w14:paraId="65B3D14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rPr>
                <w:rFonts w:hint="default" w:ascii="Times New Roman" w:hAnsi="Times New Roman" w:eastAsia="仿宋_GB2312" w:cs="Times New Roman"/>
                <w:color w:val="auto"/>
                <w:kern w:val="0"/>
                <w:sz w:val="21"/>
                <w:szCs w:val="21"/>
                <w:highlight w:val="none"/>
                <w:u w:val="none"/>
                <w:shd w:val="clear" w:color="auto" w:fill="FFFFFF"/>
                <w:vertAlign w:val="baseline"/>
              </w:rPr>
            </w:pPr>
          </w:p>
        </w:tc>
        <w:tc>
          <w:tcPr>
            <w:tcW w:w="2005" w:type="dxa"/>
            <w:vAlign w:val="center"/>
          </w:tcPr>
          <w:p w14:paraId="26101D0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u w:val="none"/>
                <w:lang w:val="en-US" w:eastAsia="zh-CN" w:bidi="ar"/>
              </w:rPr>
              <w:t>对接市级区域会诊转诊中心</w:t>
            </w:r>
          </w:p>
        </w:tc>
        <w:tc>
          <w:tcPr>
            <w:tcW w:w="6133" w:type="dxa"/>
            <w:vAlign w:val="center"/>
          </w:tcPr>
          <w:p w14:paraId="47A4169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u w:val="none"/>
                <w:lang w:val="en-US" w:eastAsia="zh-CN" w:bidi="ar"/>
              </w:rPr>
              <w:t>依托全市会诊转诊中心，为拟转外就医患者提供专业会诊服务。针对我旗发病率高、外转就医集中的重点病种，借助市级平台链接区内外优质医疗资源，常态化开展远程会诊、线上病例讨论，让群众在旗内就能享受高水平诊疗服务，最大限度减少外转就医；畅通与市级医院、基层医疗机构的上下转诊通道，完善“治疗在医院、康复在基层”的闭环服务模式，依托信息化平台明确转诊标准和流程，优化急危重症上转与康复期下转衔接，推动形成分级诊疗、有序就医的诊疗体系。</w:t>
            </w:r>
          </w:p>
        </w:tc>
        <w:tc>
          <w:tcPr>
            <w:tcW w:w="2126" w:type="dxa"/>
            <w:vAlign w:val="center"/>
          </w:tcPr>
          <w:p w14:paraId="3985249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lang w:val="en-US"/>
              </w:rPr>
            </w:pPr>
            <w:r>
              <w:rPr>
                <w:rFonts w:hint="default" w:ascii="Times New Roman" w:hAnsi="Times New Roman" w:eastAsia="仿宋_GB2312" w:cs="Times New Roman"/>
                <w:color w:val="auto"/>
                <w:kern w:val="0"/>
                <w:sz w:val="21"/>
                <w:szCs w:val="21"/>
                <w:highlight w:val="none"/>
                <w:u w:val="none"/>
                <w:shd w:val="clear" w:color="auto" w:fill="FFFFFF"/>
                <w:vertAlign w:val="baseline"/>
                <w:lang w:val="en-US" w:eastAsia="zh-CN"/>
              </w:rPr>
              <w:t>旗人民医院、蒙医医院</w:t>
            </w:r>
          </w:p>
        </w:tc>
        <w:tc>
          <w:tcPr>
            <w:tcW w:w="1402" w:type="dxa"/>
            <w:vAlign w:val="center"/>
          </w:tcPr>
          <w:p w14:paraId="04E5865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u w:val="none"/>
                <w:lang w:val="en-US" w:eastAsia="zh-CN" w:bidi="ar"/>
              </w:rPr>
              <w:t>2027年9月</w:t>
            </w:r>
          </w:p>
        </w:tc>
      </w:tr>
      <w:tr w14:paraId="0DC85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5" w:type="dxa"/>
            <w:vMerge w:val="restart"/>
            <w:vAlign w:val="center"/>
          </w:tcPr>
          <w:p w14:paraId="197AB56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u w:val="none"/>
                <w:lang w:val="en-US" w:eastAsia="zh-CN" w:bidi="ar"/>
              </w:rPr>
              <w:t>提升公立医院运行管理水平</w:t>
            </w:r>
          </w:p>
        </w:tc>
        <w:tc>
          <w:tcPr>
            <w:tcW w:w="2005" w:type="dxa"/>
            <w:vMerge w:val="restart"/>
            <w:vAlign w:val="center"/>
          </w:tcPr>
          <w:p w14:paraId="5C0EC32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highlight w:val="none"/>
                <w:u w:val="none"/>
                <w:lang w:val="en-US" w:eastAsia="zh-CN" w:bidi="ar"/>
              </w:rPr>
              <w:t>深化医保支付和价格改革</w:t>
            </w:r>
          </w:p>
        </w:tc>
        <w:tc>
          <w:tcPr>
            <w:tcW w:w="6133" w:type="dxa"/>
            <w:vAlign w:val="center"/>
          </w:tcPr>
          <w:p w14:paraId="106C750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highlight w:val="none"/>
                <w:u w:val="none"/>
                <w:lang w:val="en-US" w:eastAsia="zh-CN" w:bidi="ar"/>
              </w:rPr>
              <w:t xml:space="preserve">严格执行国家和省际药品耗材集中带量采购，推进药品耗材集采提质扩面                                                   </w:t>
            </w:r>
          </w:p>
        </w:tc>
        <w:tc>
          <w:tcPr>
            <w:tcW w:w="2126" w:type="dxa"/>
            <w:vAlign w:val="center"/>
          </w:tcPr>
          <w:p w14:paraId="5A458E6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eastAsia" w:ascii="Times New Roman" w:hAnsi="Times New Roman" w:eastAsia="仿宋_GB2312" w:cs="Times New Roman"/>
                <w:i w:val="0"/>
                <w:iCs w:val="0"/>
                <w:color w:val="000000"/>
                <w:kern w:val="0"/>
                <w:sz w:val="21"/>
                <w:szCs w:val="21"/>
                <w:highlight w:val="none"/>
                <w:u w:val="none"/>
                <w:lang w:val="en-US" w:eastAsia="zh-CN" w:bidi="ar"/>
              </w:rPr>
              <w:t>旗</w:t>
            </w:r>
            <w:r>
              <w:rPr>
                <w:rFonts w:hint="default" w:ascii="Times New Roman" w:hAnsi="Times New Roman" w:eastAsia="仿宋_GB2312" w:cs="Times New Roman"/>
                <w:i w:val="0"/>
                <w:iCs w:val="0"/>
                <w:color w:val="000000"/>
                <w:kern w:val="0"/>
                <w:sz w:val="21"/>
                <w:szCs w:val="21"/>
                <w:highlight w:val="none"/>
                <w:u w:val="none"/>
                <w:lang w:val="en-US" w:eastAsia="zh-CN" w:bidi="ar"/>
              </w:rPr>
              <w:t>医保局、卫健委</w:t>
            </w:r>
          </w:p>
        </w:tc>
        <w:tc>
          <w:tcPr>
            <w:tcW w:w="1402" w:type="dxa"/>
            <w:vAlign w:val="center"/>
          </w:tcPr>
          <w:p w14:paraId="3E23C5E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highlight w:val="none"/>
                <w:u w:val="none"/>
                <w:lang w:val="en-US" w:eastAsia="zh-CN" w:bidi="ar"/>
              </w:rPr>
              <w:t>2026年12月</w:t>
            </w:r>
          </w:p>
        </w:tc>
      </w:tr>
      <w:tr w14:paraId="66F7C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5" w:type="dxa"/>
            <w:vMerge w:val="continue"/>
            <w:vAlign w:val="center"/>
          </w:tcPr>
          <w:p w14:paraId="7B032ED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rPr>
                <w:rFonts w:hint="default" w:ascii="Times New Roman" w:hAnsi="Times New Roman" w:eastAsia="仿宋_GB2312" w:cs="Times New Roman"/>
                <w:color w:val="auto"/>
                <w:kern w:val="0"/>
                <w:sz w:val="21"/>
                <w:szCs w:val="21"/>
                <w:highlight w:val="none"/>
                <w:u w:val="none"/>
                <w:shd w:val="clear" w:color="auto" w:fill="FFFFFF"/>
                <w:vertAlign w:val="baseline"/>
              </w:rPr>
            </w:pPr>
          </w:p>
        </w:tc>
        <w:tc>
          <w:tcPr>
            <w:tcW w:w="2005" w:type="dxa"/>
            <w:vMerge w:val="continue"/>
            <w:vAlign w:val="center"/>
          </w:tcPr>
          <w:p w14:paraId="34AD27D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rPr>
                <w:rFonts w:hint="default" w:ascii="Times New Roman" w:hAnsi="Times New Roman" w:eastAsia="仿宋_GB2312" w:cs="Times New Roman"/>
                <w:color w:val="auto"/>
                <w:kern w:val="0"/>
                <w:sz w:val="21"/>
                <w:szCs w:val="21"/>
                <w:highlight w:val="none"/>
                <w:u w:val="none"/>
                <w:shd w:val="clear" w:color="auto" w:fill="FFFFFF"/>
                <w:vertAlign w:val="baseline"/>
              </w:rPr>
            </w:pPr>
          </w:p>
        </w:tc>
        <w:tc>
          <w:tcPr>
            <w:tcW w:w="6133" w:type="dxa"/>
            <w:vAlign w:val="center"/>
          </w:tcPr>
          <w:p w14:paraId="1C3583D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highlight w:val="none"/>
                <w:u w:val="none"/>
                <w:lang w:val="en-US" w:eastAsia="zh-CN" w:bidi="ar"/>
              </w:rPr>
              <w:t xml:space="preserve">建立常态化评估、科学化测算、合理化调整的医疗服务价格动态调整机制，每年至少调整1次医疗服务价格。     </w:t>
            </w:r>
          </w:p>
        </w:tc>
        <w:tc>
          <w:tcPr>
            <w:tcW w:w="2126" w:type="dxa"/>
            <w:vAlign w:val="center"/>
          </w:tcPr>
          <w:p w14:paraId="78FF813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eastAsia" w:ascii="Times New Roman" w:hAnsi="Times New Roman" w:eastAsia="仿宋_GB2312" w:cs="Times New Roman"/>
                <w:color w:val="auto"/>
                <w:kern w:val="0"/>
                <w:sz w:val="21"/>
                <w:szCs w:val="21"/>
                <w:highlight w:val="none"/>
                <w:u w:val="none"/>
                <w:shd w:val="clear" w:color="auto" w:fill="FFFFFF"/>
                <w:vertAlign w:val="baseline"/>
                <w:lang w:val="en-US" w:eastAsia="zh-CN"/>
              </w:rPr>
              <w:t>旗</w:t>
            </w:r>
            <w:r>
              <w:rPr>
                <w:rFonts w:hint="default" w:ascii="Times New Roman" w:hAnsi="Times New Roman" w:eastAsia="仿宋_GB2312" w:cs="Times New Roman"/>
                <w:color w:val="auto"/>
                <w:kern w:val="0"/>
                <w:sz w:val="21"/>
                <w:szCs w:val="21"/>
                <w:highlight w:val="none"/>
                <w:u w:val="none"/>
                <w:shd w:val="clear" w:color="auto" w:fill="FFFFFF"/>
                <w:vertAlign w:val="baseline"/>
              </w:rPr>
              <w:t>医保局、卫健委</w:t>
            </w:r>
          </w:p>
        </w:tc>
        <w:tc>
          <w:tcPr>
            <w:tcW w:w="1402" w:type="dxa"/>
            <w:vAlign w:val="center"/>
          </w:tcPr>
          <w:p w14:paraId="53C78F5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highlight w:val="none"/>
                <w:u w:val="none"/>
                <w:lang w:val="en-US" w:eastAsia="zh-CN" w:bidi="ar"/>
              </w:rPr>
              <w:t>2026年12月</w:t>
            </w:r>
          </w:p>
        </w:tc>
      </w:tr>
      <w:tr w14:paraId="4C066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5" w:type="dxa"/>
            <w:vMerge w:val="continue"/>
            <w:vAlign w:val="center"/>
          </w:tcPr>
          <w:p w14:paraId="5DBE685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rPr>
                <w:rFonts w:hint="default" w:ascii="Times New Roman" w:hAnsi="Times New Roman" w:eastAsia="仿宋_GB2312" w:cs="Times New Roman"/>
                <w:color w:val="auto"/>
                <w:kern w:val="0"/>
                <w:sz w:val="21"/>
                <w:szCs w:val="21"/>
                <w:highlight w:val="none"/>
                <w:u w:val="none"/>
                <w:shd w:val="clear" w:color="auto" w:fill="FFFFFF"/>
                <w:vertAlign w:val="baseline"/>
              </w:rPr>
            </w:pPr>
          </w:p>
        </w:tc>
        <w:tc>
          <w:tcPr>
            <w:tcW w:w="2005" w:type="dxa"/>
            <w:vMerge w:val="continue"/>
            <w:vAlign w:val="center"/>
          </w:tcPr>
          <w:p w14:paraId="382A9DC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rPr>
                <w:rFonts w:hint="default" w:ascii="Times New Roman" w:hAnsi="Times New Roman" w:eastAsia="仿宋_GB2312" w:cs="Times New Roman"/>
                <w:color w:val="auto"/>
                <w:kern w:val="0"/>
                <w:sz w:val="21"/>
                <w:szCs w:val="21"/>
                <w:highlight w:val="none"/>
                <w:u w:val="none"/>
                <w:shd w:val="clear" w:color="auto" w:fill="FFFFFF"/>
                <w:vertAlign w:val="baseline"/>
              </w:rPr>
            </w:pPr>
          </w:p>
        </w:tc>
        <w:tc>
          <w:tcPr>
            <w:tcW w:w="6133" w:type="dxa"/>
            <w:vAlign w:val="center"/>
          </w:tcPr>
          <w:p w14:paraId="2C50BB8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highlight w:val="none"/>
                <w:u w:val="none"/>
                <w:lang w:val="en-US" w:eastAsia="zh-CN" w:bidi="ar"/>
              </w:rPr>
              <w:t>充分发挥医保支付方式的杠杆作用，全面实现紧密型县域医共体医保基金总额付费，推动医疗机构从“以治病为中心”向“以健康为中心”转变。</w:t>
            </w:r>
          </w:p>
        </w:tc>
        <w:tc>
          <w:tcPr>
            <w:tcW w:w="2126" w:type="dxa"/>
            <w:vAlign w:val="center"/>
          </w:tcPr>
          <w:p w14:paraId="61816E5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eastAsia" w:ascii="Times New Roman" w:hAnsi="Times New Roman" w:eastAsia="仿宋_GB2312" w:cs="Times New Roman"/>
                <w:i w:val="0"/>
                <w:iCs w:val="0"/>
                <w:color w:val="000000"/>
                <w:kern w:val="0"/>
                <w:sz w:val="21"/>
                <w:szCs w:val="21"/>
                <w:highlight w:val="none"/>
                <w:u w:val="none"/>
                <w:lang w:val="en-US" w:eastAsia="zh-CN" w:bidi="ar"/>
              </w:rPr>
              <w:t>旗</w:t>
            </w:r>
            <w:r>
              <w:rPr>
                <w:rFonts w:hint="default" w:ascii="Times New Roman" w:hAnsi="Times New Roman" w:eastAsia="仿宋_GB2312" w:cs="Times New Roman"/>
                <w:i w:val="0"/>
                <w:iCs w:val="0"/>
                <w:color w:val="000000"/>
                <w:kern w:val="0"/>
                <w:sz w:val="21"/>
                <w:szCs w:val="21"/>
                <w:highlight w:val="none"/>
                <w:u w:val="none"/>
                <w:lang w:val="en-US" w:eastAsia="zh-CN" w:bidi="ar"/>
              </w:rPr>
              <w:t>医保局、卫健委</w:t>
            </w:r>
          </w:p>
        </w:tc>
        <w:tc>
          <w:tcPr>
            <w:tcW w:w="1402" w:type="dxa"/>
            <w:vAlign w:val="center"/>
          </w:tcPr>
          <w:p w14:paraId="1CAE352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highlight w:val="none"/>
                <w:u w:val="none"/>
                <w:lang w:val="en-US" w:eastAsia="zh-CN" w:bidi="ar"/>
              </w:rPr>
              <w:t>2027年3月</w:t>
            </w:r>
          </w:p>
        </w:tc>
      </w:tr>
      <w:tr w14:paraId="1293D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5" w:type="dxa"/>
            <w:vMerge w:val="continue"/>
            <w:vAlign w:val="center"/>
          </w:tcPr>
          <w:p w14:paraId="5BA0E02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rPr>
                <w:rFonts w:hint="default" w:ascii="Times New Roman" w:hAnsi="Times New Roman" w:eastAsia="仿宋_GB2312" w:cs="Times New Roman"/>
                <w:color w:val="auto"/>
                <w:kern w:val="0"/>
                <w:sz w:val="21"/>
                <w:szCs w:val="21"/>
                <w:highlight w:val="none"/>
                <w:u w:val="none"/>
                <w:shd w:val="clear" w:color="auto" w:fill="FFFFFF"/>
                <w:vertAlign w:val="baseline"/>
              </w:rPr>
            </w:pPr>
          </w:p>
        </w:tc>
        <w:tc>
          <w:tcPr>
            <w:tcW w:w="2005" w:type="dxa"/>
            <w:vMerge w:val="continue"/>
            <w:vAlign w:val="center"/>
          </w:tcPr>
          <w:p w14:paraId="6EA827F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rPr>
                <w:rFonts w:hint="default" w:ascii="Times New Roman" w:hAnsi="Times New Roman" w:eastAsia="仿宋_GB2312" w:cs="Times New Roman"/>
                <w:color w:val="auto"/>
                <w:kern w:val="0"/>
                <w:sz w:val="21"/>
                <w:szCs w:val="21"/>
                <w:highlight w:val="none"/>
                <w:u w:val="none"/>
                <w:shd w:val="clear" w:color="auto" w:fill="FFFFFF"/>
                <w:vertAlign w:val="baseline"/>
              </w:rPr>
            </w:pPr>
          </w:p>
        </w:tc>
        <w:tc>
          <w:tcPr>
            <w:tcW w:w="6133" w:type="dxa"/>
            <w:vAlign w:val="center"/>
          </w:tcPr>
          <w:p w14:paraId="346919C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highlight w:val="none"/>
                <w:u w:val="none"/>
                <w:lang w:val="en-US" w:eastAsia="zh-CN" w:bidi="ar"/>
              </w:rPr>
              <w:t>全面执行医保基层病种目录、中蒙医优势病种目录和康复病种目录，完善按病种付费、按床日付费等多元复合支付方式。</w:t>
            </w:r>
          </w:p>
        </w:tc>
        <w:tc>
          <w:tcPr>
            <w:tcW w:w="2126" w:type="dxa"/>
            <w:vAlign w:val="center"/>
          </w:tcPr>
          <w:p w14:paraId="14F95B7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eastAsia" w:ascii="Times New Roman" w:hAnsi="Times New Roman" w:eastAsia="仿宋_GB2312" w:cs="Times New Roman"/>
                <w:i w:val="0"/>
                <w:iCs w:val="0"/>
                <w:color w:val="000000"/>
                <w:kern w:val="0"/>
                <w:sz w:val="21"/>
                <w:szCs w:val="21"/>
                <w:highlight w:val="none"/>
                <w:u w:val="none"/>
                <w:lang w:val="en-US" w:eastAsia="zh-CN" w:bidi="ar"/>
              </w:rPr>
              <w:t>旗</w:t>
            </w:r>
            <w:r>
              <w:rPr>
                <w:rFonts w:hint="default" w:ascii="Times New Roman" w:hAnsi="Times New Roman" w:eastAsia="仿宋_GB2312" w:cs="Times New Roman"/>
                <w:i w:val="0"/>
                <w:iCs w:val="0"/>
                <w:color w:val="000000"/>
                <w:kern w:val="0"/>
                <w:sz w:val="21"/>
                <w:szCs w:val="21"/>
                <w:highlight w:val="none"/>
                <w:u w:val="none"/>
                <w:lang w:val="en-US" w:eastAsia="zh-CN" w:bidi="ar"/>
              </w:rPr>
              <w:t>医保局、卫健委</w:t>
            </w:r>
          </w:p>
        </w:tc>
        <w:tc>
          <w:tcPr>
            <w:tcW w:w="1402" w:type="dxa"/>
            <w:vAlign w:val="center"/>
          </w:tcPr>
          <w:p w14:paraId="0BEC884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highlight w:val="none"/>
                <w:u w:val="none"/>
                <w:lang w:val="en-US" w:eastAsia="zh-CN" w:bidi="ar"/>
              </w:rPr>
              <w:t>2026年12月</w:t>
            </w:r>
          </w:p>
        </w:tc>
      </w:tr>
      <w:tr w14:paraId="5A5FC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5" w:type="dxa"/>
            <w:vMerge w:val="continue"/>
            <w:vAlign w:val="center"/>
          </w:tcPr>
          <w:p w14:paraId="38AB9ED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rPr>
                <w:rFonts w:hint="default" w:ascii="Times New Roman" w:hAnsi="Times New Roman" w:eastAsia="仿宋_GB2312" w:cs="Times New Roman"/>
                <w:color w:val="auto"/>
                <w:kern w:val="0"/>
                <w:sz w:val="21"/>
                <w:szCs w:val="21"/>
                <w:highlight w:val="none"/>
                <w:u w:val="none"/>
                <w:shd w:val="clear" w:color="auto" w:fill="FFFFFF"/>
                <w:vertAlign w:val="baseline"/>
              </w:rPr>
            </w:pPr>
          </w:p>
        </w:tc>
        <w:tc>
          <w:tcPr>
            <w:tcW w:w="2005" w:type="dxa"/>
            <w:vMerge w:val="restart"/>
            <w:vAlign w:val="center"/>
          </w:tcPr>
          <w:p w14:paraId="09D426F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u w:val="none"/>
                <w:lang w:val="en-US" w:eastAsia="zh-CN" w:bidi="ar"/>
              </w:rPr>
              <w:t>优化编制薪酬保障体系</w:t>
            </w:r>
          </w:p>
        </w:tc>
        <w:tc>
          <w:tcPr>
            <w:tcW w:w="6133" w:type="dxa"/>
            <w:vAlign w:val="center"/>
          </w:tcPr>
          <w:p w14:paraId="259D6FB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u w:val="none"/>
                <w:lang w:val="en-US" w:eastAsia="zh-CN" w:bidi="ar"/>
              </w:rPr>
              <w:t xml:space="preserve">推进公立医院人员总量管理机制，依据床位数科学核定人员总量，保障控制数人员财政补助水平。    </w:t>
            </w:r>
          </w:p>
        </w:tc>
        <w:tc>
          <w:tcPr>
            <w:tcW w:w="2126" w:type="dxa"/>
            <w:vAlign w:val="center"/>
          </w:tcPr>
          <w:p w14:paraId="56AC901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leftChars="0" w:right="0" w:rightChars="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lang w:val="en-US"/>
              </w:rPr>
            </w:pPr>
            <w:r>
              <w:rPr>
                <w:rFonts w:hint="default" w:ascii="Times New Roman" w:hAnsi="Times New Roman" w:eastAsia="仿宋_GB2312" w:cs="Times New Roman"/>
                <w:i w:val="0"/>
                <w:iCs w:val="0"/>
                <w:color w:val="000000"/>
                <w:kern w:val="0"/>
                <w:sz w:val="21"/>
                <w:szCs w:val="21"/>
                <w:highlight w:val="none"/>
                <w:u w:val="none"/>
                <w:lang w:val="en-US" w:eastAsia="zh-CN" w:bidi="ar"/>
              </w:rPr>
              <w:t>旗委编办</w:t>
            </w:r>
            <w:r>
              <w:rPr>
                <w:rFonts w:hint="eastAsia" w:ascii="Times New Roman" w:hAnsi="Times New Roman" w:eastAsia="仿宋_GB2312" w:cs="Times New Roman"/>
                <w:i w:val="0"/>
                <w:iCs w:val="0"/>
                <w:color w:val="000000"/>
                <w:kern w:val="0"/>
                <w:sz w:val="21"/>
                <w:szCs w:val="21"/>
                <w:highlight w:val="none"/>
                <w:u w:val="none"/>
                <w:lang w:val="en-US" w:eastAsia="zh-CN" w:bidi="ar"/>
              </w:rPr>
              <w:t>，旗</w:t>
            </w:r>
            <w:r>
              <w:rPr>
                <w:rFonts w:hint="default" w:ascii="Times New Roman" w:hAnsi="Times New Roman" w:eastAsia="仿宋_GB2312" w:cs="Times New Roman"/>
                <w:i w:val="0"/>
                <w:iCs w:val="0"/>
                <w:color w:val="000000"/>
                <w:kern w:val="0"/>
                <w:sz w:val="21"/>
                <w:szCs w:val="21"/>
                <w:highlight w:val="none"/>
                <w:u w:val="none"/>
                <w:lang w:val="en-US" w:eastAsia="zh-CN" w:bidi="ar"/>
              </w:rPr>
              <w:t>人社局、财政局、卫健委</w:t>
            </w:r>
          </w:p>
        </w:tc>
        <w:tc>
          <w:tcPr>
            <w:tcW w:w="1402" w:type="dxa"/>
            <w:vAlign w:val="center"/>
          </w:tcPr>
          <w:p w14:paraId="08C33A8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u w:val="none"/>
                <w:lang w:val="en-US" w:eastAsia="zh-CN" w:bidi="ar"/>
              </w:rPr>
              <w:t>2027年11月</w:t>
            </w:r>
          </w:p>
        </w:tc>
      </w:tr>
      <w:tr w14:paraId="3B872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5" w:type="dxa"/>
            <w:vMerge w:val="continue"/>
            <w:vAlign w:val="center"/>
          </w:tcPr>
          <w:p w14:paraId="01E3A8E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rPr>
                <w:rFonts w:hint="default" w:ascii="Times New Roman" w:hAnsi="Times New Roman" w:eastAsia="仿宋_GB2312" w:cs="Times New Roman"/>
                <w:color w:val="auto"/>
                <w:kern w:val="0"/>
                <w:sz w:val="21"/>
                <w:szCs w:val="21"/>
                <w:highlight w:val="none"/>
                <w:u w:val="none"/>
                <w:shd w:val="clear" w:color="auto" w:fill="FFFFFF"/>
                <w:vertAlign w:val="baseline"/>
              </w:rPr>
            </w:pPr>
          </w:p>
        </w:tc>
        <w:tc>
          <w:tcPr>
            <w:tcW w:w="2005" w:type="dxa"/>
            <w:vMerge w:val="continue"/>
            <w:vAlign w:val="center"/>
          </w:tcPr>
          <w:p w14:paraId="7F097AD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rPr>
                <w:rFonts w:hint="default" w:ascii="Times New Roman" w:hAnsi="Times New Roman" w:eastAsia="仿宋_GB2312" w:cs="Times New Roman"/>
                <w:color w:val="auto"/>
                <w:kern w:val="0"/>
                <w:sz w:val="21"/>
                <w:szCs w:val="21"/>
                <w:highlight w:val="none"/>
                <w:u w:val="none"/>
                <w:shd w:val="clear" w:color="auto" w:fill="FFFFFF"/>
                <w:vertAlign w:val="baseline"/>
              </w:rPr>
            </w:pPr>
          </w:p>
        </w:tc>
        <w:tc>
          <w:tcPr>
            <w:tcW w:w="6133" w:type="dxa"/>
            <w:vAlign w:val="center"/>
          </w:tcPr>
          <w:p w14:paraId="25D2193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u w:val="none"/>
                <w:lang w:val="en-US" w:eastAsia="zh-CN" w:bidi="ar"/>
              </w:rPr>
              <w:t>建立编制动态调整机制，可结合实际3—5年核定一次，保障临床一线编制供给，对45周岁以下高层次紧缺临床一线医生，按照人才引进相关规定，经认定符合条件的，办理引才手续，特别紧缺人才可适当放宽年龄。</w:t>
            </w:r>
          </w:p>
        </w:tc>
        <w:tc>
          <w:tcPr>
            <w:tcW w:w="2126" w:type="dxa"/>
            <w:vAlign w:val="center"/>
          </w:tcPr>
          <w:p w14:paraId="3A42967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leftChars="0" w:right="0" w:rightChars="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lang w:val="en-US"/>
              </w:rPr>
            </w:pPr>
            <w:r>
              <w:rPr>
                <w:rFonts w:hint="default" w:ascii="Times New Roman" w:hAnsi="Times New Roman" w:eastAsia="仿宋_GB2312" w:cs="Times New Roman"/>
                <w:i w:val="0"/>
                <w:iCs w:val="0"/>
                <w:color w:val="000000"/>
                <w:kern w:val="0"/>
                <w:sz w:val="21"/>
                <w:szCs w:val="21"/>
                <w:highlight w:val="none"/>
                <w:u w:val="none"/>
                <w:lang w:val="en-US" w:eastAsia="zh-CN" w:bidi="ar"/>
              </w:rPr>
              <w:t>旗委编办</w:t>
            </w:r>
            <w:r>
              <w:rPr>
                <w:rFonts w:hint="eastAsia" w:ascii="Times New Roman" w:hAnsi="Times New Roman" w:eastAsia="仿宋_GB2312" w:cs="Times New Roman"/>
                <w:i w:val="0"/>
                <w:iCs w:val="0"/>
                <w:color w:val="000000"/>
                <w:kern w:val="0"/>
                <w:sz w:val="21"/>
                <w:szCs w:val="21"/>
                <w:highlight w:val="none"/>
                <w:u w:val="none"/>
                <w:lang w:val="en-US" w:eastAsia="zh-CN" w:bidi="ar"/>
              </w:rPr>
              <w:t>，</w:t>
            </w:r>
            <w:r>
              <w:rPr>
                <w:rFonts w:hint="default" w:ascii="Times New Roman" w:hAnsi="Times New Roman" w:eastAsia="仿宋_GB2312" w:cs="Times New Roman"/>
                <w:i w:val="0"/>
                <w:iCs w:val="0"/>
                <w:color w:val="000000"/>
                <w:kern w:val="0"/>
                <w:sz w:val="21"/>
                <w:szCs w:val="21"/>
                <w:highlight w:val="none"/>
                <w:u w:val="none"/>
                <w:lang w:val="en-US" w:eastAsia="zh-CN" w:bidi="ar"/>
              </w:rPr>
              <w:t>旗人社局、卫健委</w:t>
            </w:r>
          </w:p>
        </w:tc>
        <w:tc>
          <w:tcPr>
            <w:tcW w:w="1402" w:type="dxa"/>
            <w:vAlign w:val="center"/>
          </w:tcPr>
          <w:p w14:paraId="3D28BD9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u w:val="none"/>
                <w:lang w:val="en-US" w:eastAsia="zh-CN" w:bidi="ar"/>
              </w:rPr>
              <w:t>2027年11月</w:t>
            </w:r>
          </w:p>
        </w:tc>
      </w:tr>
      <w:tr w14:paraId="33302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5" w:type="dxa"/>
            <w:vMerge w:val="continue"/>
            <w:vAlign w:val="center"/>
          </w:tcPr>
          <w:p w14:paraId="54BA5B0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rPr>
                <w:rFonts w:hint="default" w:ascii="Times New Roman" w:hAnsi="Times New Roman" w:eastAsia="仿宋_GB2312" w:cs="Times New Roman"/>
                <w:color w:val="auto"/>
                <w:kern w:val="0"/>
                <w:sz w:val="21"/>
                <w:szCs w:val="21"/>
                <w:highlight w:val="none"/>
                <w:u w:val="none"/>
                <w:shd w:val="clear" w:color="auto" w:fill="FFFFFF"/>
                <w:vertAlign w:val="baseline"/>
              </w:rPr>
            </w:pPr>
          </w:p>
        </w:tc>
        <w:tc>
          <w:tcPr>
            <w:tcW w:w="2005" w:type="dxa"/>
            <w:vMerge w:val="continue"/>
            <w:vAlign w:val="center"/>
          </w:tcPr>
          <w:p w14:paraId="73751E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rPr>
                <w:rFonts w:hint="default" w:ascii="Times New Roman" w:hAnsi="Times New Roman" w:eastAsia="仿宋_GB2312" w:cs="Times New Roman"/>
                <w:color w:val="auto"/>
                <w:kern w:val="0"/>
                <w:sz w:val="21"/>
                <w:szCs w:val="21"/>
                <w:highlight w:val="none"/>
                <w:u w:val="none"/>
                <w:shd w:val="clear" w:color="auto" w:fill="FFFFFF"/>
                <w:vertAlign w:val="baseline"/>
              </w:rPr>
            </w:pPr>
          </w:p>
        </w:tc>
        <w:tc>
          <w:tcPr>
            <w:tcW w:w="6133" w:type="dxa"/>
            <w:vAlign w:val="center"/>
          </w:tcPr>
          <w:p w14:paraId="194B9C2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u w:val="none"/>
                <w:lang w:val="en-US" w:eastAsia="zh-CN" w:bidi="ar"/>
              </w:rPr>
              <w:t>为公立医院增加8%的高级职称岗位，发挥岗位保障激励作用。落实“两个允许”和“三个结构性调整”，提高医务人员固定收入占比，构建体现岗位职责与技术劳动价值的薪酬体系。</w:t>
            </w:r>
          </w:p>
        </w:tc>
        <w:tc>
          <w:tcPr>
            <w:tcW w:w="2126" w:type="dxa"/>
            <w:vAlign w:val="center"/>
          </w:tcPr>
          <w:p w14:paraId="108E172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leftChars="0" w:right="0" w:rightChars="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lang w:val="en-US"/>
              </w:rPr>
            </w:pPr>
            <w:r>
              <w:rPr>
                <w:rFonts w:hint="eastAsia" w:ascii="Times New Roman" w:hAnsi="Times New Roman" w:eastAsia="仿宋_GB2312" w:cs="Times New Roman"/>
                <w:i w:val="0"/>
                <w:iCs w:val="0"/>
                <w:color w:val="000000"/>
                <w:kern w:val="0"/>
                <w:sz w:val="21"/>
                <w:szCs w:val="21"/>
                <w:highlight w:val="none"/>
                <w:u w:val="none"/>
                <w:lang w:val="en-US" w:eastAsia="zh-CN" w:bidi="ar"/>
              </w:rPr>
              <w:t>旗</w:t>
            </w:r>
            <w:r>
              <w:rPr>
                <w:rFonts w:hint="default" w:ascii="Times New Roman" w:hAnsi="Times New Roman" w:eastAsia="仿宋_GB2312" w:cs="Times New Roman"/>
                <w:i w:val="0"/>
                <w:iCs w:val="0"/>
                <w:color w:val="000000"/>
                <w:kern w:val="0"/>
                <w:sz w:val="21"/>
                <w:szCs w:val="21"/>
                <w:highlight w:val="none"/>
                <w:u w:val="none"/>
                <w:lang w:val="en-US" w:eastAsia="zh-CN" w:bidi="ar"/>
              </w:rPr>
              <w:t>卫健委、人社局</w:t>
            </w:r>
          </w:p>
        </w:tc>
        <w:tc>
          <w:tcPr>
            <w:tcW w:w="1402" w:type="dxa"/>
            <w:vAlign w:val="center"/>
          </w:tcPr>
          <w:p w14:paraId="24D8A5B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u w:val="none"/>
                <w:lang w:val="en-US" w:eastAsia="zh-CN" w:bidi="ar"/>
              </w:rPr>
              <w:t>2026年12月</w:t>
            </w:r>
          </w:p>
        </w:tc>
      </w:tr>
      <w:tr w14:paraId="7EF1F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5" w:type="dxa"/>
            <w:vMerge w:val="continue"/>
            <w:vAlign w:val="center"/>
          </w:tcPr>
          <w:p w14:paraId="1B35C73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rPr>
                <w:rFonts w:hint="default" w:ascii="Times New Roman" w:hAnsi="Times New Roman" w:eastAsia="仿宋_GB2312" w:cs="Times New Roman"/>
                <w:color w:val="auto"/>
                <w:kern w:val="0"/>
                <w:sz w:val="21"/>
                <w:szCs w:val="21"/>
                <w:highlight w:val="none"/>
                <w:u w:val="none"/>
                <w:shd w:val="clear" w:color="auto" w:fill="FFFFFF"/>
                <w:vertAlign w:val="baseline"/>
              </w:rPr>
            </w:pPr>
          </w:p>
        </w:tc>
        <w:tc>
          <w:tcPr>
            <w:tcW w:w="2005" w:type="dxa"/>
            <w:vAlign w:val="center"/>
          </w:tcPr>
          <w:p w14:paraId="670332A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u w:val="none"/>
                <w:lang w:val="en-US" w:eastAsia="zh-CN" w:bidi="ar"/>
              </w:rPr>
              <w:t>落实区域卫生规划刚性约束</w:t>
            </w:r>
          </w:p>
        </w:tc>
        <w:tc>
          <w:tcPr>
            <w:tcW w:w="6133" w:type="dxa"/>
            <w:vAlign w:val="center"/>
          </w:tcPr>
          <w:p w14:paraId="4D1466D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u w:val="none"/>
                <w:lang w:val="en-US" w:eastAsia="zh-CN" w:bidi="ar"/>
              </w:rPr>
              <w:t>强化资源调配和统筹布局，依据区域人口规模与疾病谱变化趋势，合理控制区域床位总量，将资源重点向重症、肿瘤、康复等紧缺领域倾斜，实现公立医院发展方式从规模扩张向提质增效转变，运行模式从粗放管理向精细化管理转变。建立资源动态调配机制，打通上下联动的医共体协作网络，促进优质资源精准下沉、高效共享。</w:t>
            </w:r>
          </w:p>
        </w:tc>
        <w:tc>
          <w:tcPr>
            <w:tcW w:w="2126" w:type="dxa"/>
            <w:vAlign w:val="center"/>
          </w:tcPr>
          <w:p w14:paraId="595A82B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leftChars="0" w:right="0" w:rightChars="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eastAsia" w:ascii="Times New Roman" w:hAnsi="Times New Roman" w:eastAsia="仿宋_GB2312" w:cs="Times New Roman"/>
                <w:i w:val="0"/>
                <w:iCs w:val="0"/>
                <w:color w:val="000000"/>
                <w:kern w:val="0"/>
                <w:sz w:val="21"/>
                <w:szCs w:val="21"/>
                <w:highlight w:val="none"/>
                <w:u w:val="none"/>
                <w:lang w:val="en-US" w:eastAsia="zh-CN" w:bidi="ar"/>
              </w:rPr>
              <w:t>旗</w:t>
            </w:r>
            <w:r>
              <w:rPr>
                <w:rFonts w:hint="default" w:ascii="Times New Roman" w:hAnsi="Times New Roman" w:eastAsia="仿宋_GB2312" w:cs="Times New Roman"/>
                <w:i w:val="0"/>
                <w:iCs w:val="0"/>
                <w:color w:val="000000"/>
                <w:kern w:val="0"/>
                <w:sz w:val="21"/>
                <w:szCs w:val="21"/>
                <w:highlight w:val="none"/>
                <w:u w:val="none"/>
                <w:lang w:val="en-US" w:eastAsia="zh-CN" w:bidi="ar"/>
              </w:rPr>
              <w:t>卫健委</w:t>
            </w:r>
          </w:p>
        </w:tc>
        <w:tc>
          <w:tcPr>
            <w:tcW w:w="1402" w:type="dxa"/>
            <w:vAlign w:val="center"/>
          </w:tcPr>
          <w:p w14:paraId="6E3AECC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u w:val="none"/>
                <w:lang w:val="en-US" w:eastAsia="zh-CN" w:bidi="ar"/>
              </w:rPr>
              <w:t>2027年9月</w:t>
            </w:r>
          </w:p>
        </w:tc>
      </w:tr>
      <w:tr w14:paraId="008D1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5" w:type="dxa"/>
            <w:vMerge w:val="continue"/>
            <w:vAlign w:val="center"/>
          </w:tcPr>
          <w:p w14:paraId="73315CA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rPr>
                <w:rFonts w:hint="default" w:ascii="Times New Roman" w:hAnsi="Times New Roman" w:eastAsia="仿宋_GB2312" w:cs="Times New Roman"/>
                <w:color w:val="auto"/>
                <w:kern w:val="0"/>
                <w:sz w:val="21"/>
                <w:szCs w:val="21"/>
                <w:highlight w:val="none"/>
                <w:u w:val="none"/>
                <w:shd w:val="clear" w:color="auto" w:fill="FFFFFF"/>
                <w:vertAlign w:val="baseline"/>
              </w:rPr>
            </w:pPr>
          </w:p>
        </w:tc>
        <w:tc>
          <w:tcPr>
            <w:tcW w:w="2005" w:type="dxa"/>
            <w:vMerge w:val="restart"/>
            <w:vAlign w:val="center"/>
          </w:tcPr>
          <w:p w14:paraId="5815C97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u w:val="none"/>
                <w:lang w:val="en-US" w:eastAsia="zh-CN" w:bidi="ar"/>
              </w:rPr>
              <w:t>强化公立医院精细化管理</w:t>
            </w:r>
          </w:p>
        </w:tc>
        <w:tc>
          <w:tcPr>
            <w:tcW w:w="6133" w:type="dxa"/>
            <w:vAlign w:val="center"/>
          </w:tcPr>
          <w:p w14:paraId="0F8D940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u w:val="none"/>
                <w:lang w:val="en-US" w:eastAsia="zh-CN" w:bidi="ar"/>
              </w:rPr>
              <w:t>完善公立医院运营管理体系，二级以上公立医院全部成立医院运营管理委员会和办公室，配备总会计师。</w:t>
            </w:r>
          </w:p>
        </w:tc>
        <w:tc>
          <w:tcPr>
            <w:tcW w:w="2126" w:type="dxa"/>
            <w:vAlign w:val="center"/>
          </w:tcPr>
          <w:p w14:paraId="34B9C32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leftChars="0" w:right="0" w:rightChars="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eastAsia" w:ascii="Times New Roman" w:hAnsi="Times New Roman" w:eastAsia="仿宋_GB2312" w:cs="Times New Roman"/>
                <w:i w:val="0"/>
                <w:iCs w:val="0"/>
                <w:color w:val="000000"/>
                <w:kern w:val="0"/>
                <w:sz w:val="21"/>
                <w:szCs w:val="21"/>
                <w:highlight w:val="none"/>
                <w:u w:val="none"/>
                <w:lang w:val="en-US" w:eastAsia="zh-CN" w:bidi="ar"/>
              </w:rPr>
              <w:t>旗</w:t>
            </w:r>
            <w:r>
              <w:rPr>
                <w:rFonts w:hint="default" w:ascii="Times New Roman" w:hAnsi="Times New Roman" w:eastAsia="仿宋_GB2312" w:cs="Times New Roman"/>
                <w:i w:val="0"/>
                <w:iCs w:val="0"/>
                <w:color w:val="000000"/>
                <w:kern w:val="0"/>
                <w:sz w:val="21"/>
                <w:szCs w:val="21"/>
                <w:highlight w:val="none"/>
                <w:u w:val="none"/>
                <w:lang w:val="en-US" w:eastAsia="zh-CN" w:bidi="ar"/>
              </w:rPr>
              <w:t>卫健委</w:t>
            </w:r>
          </w:p>
        </w:tc>
        <w:tc>
          <w:tcPr>
            <w:tcW w:w="1402" w:type="dxa"/>
            <w:vAlign w:val="center"/>
          </w:tcPr>
          <w:p w14:paraId="43E6FAC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u w:val="none"/>
                <w:lang w:val="en-US" w:eastAsia="zh-CN" w:bidi="ar"/>
              </w:rPr>
              <w:t>2026年12月</w:t>
            </w:r>
          </w:p>
        </w:tc>
      </w:tr>
      <w:tr w14:paraId="357B9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5" w:type="dxa"/>
            <w:vMerge w:val="continue"/>
            <w:vAlign w:val="center"/>
          </w:tcPr>
          <w:p w14:paraId="7402CB2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rPr>
                <w:rFonts w:hint="default" w:ascii="Times New Roman" w:hAnsi="Times New Roman" w:eastAsia="仿宋_GB2312" w:cs="Times New Roman"/>
                <w:color w:val="auto"/>
                <w:kern w:val="0"/>
                <w:sz w:val="21"/>
                <w:szCs w:val="21"/>
                <w:highlight w:val="none"/>
                <w:u w:val="none"/>
                <w:shd w:val="clear" w:color="auto" w:fill="FFFFFF"/>
                <w:vertAlign w:val="baseline"/>
              </w:rPr>
            </w:pPr>
          </w:p>
        </w:tc>
        <w:tc>
          <w:tcPr>
            <w:tcW w:w="2005" w:type="dxa"/>
            <w:vMerge w:val="continue"/>
            <w:vAlign w:val="center"/>
          </w:tcPr>
          <w:p w14:paraId="4876461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rPr>
                <w:rFonts w:hint="default" w:ascii="Times New Roman" w:hAnsi="Times New Roman" w:eastAsia="仿宋_GB2312" w:cs="Times New Roman"/>
                <w:color w:val="auto"/>
                <w:kern w:val="0"/>
                <w:sz w:val="21"/>
                <w:szCs w:val="21"/>
                <w:highlight w:val="none"/>
                <w:u w:val="none"/>
                <w:shd w:val="clear" w:color="auto" w:fill="FFFFFF"/>
                <w:vertAlign w:val="baseline"/>
              </w:rPr>
            </w:pPr>
          </w:p>
        </w:tc>
        <w:tc>
          <w:tcPr>
            <w:tcW w:w="6133" w:type="dxa"/>
            <w:vAlign w:val="center"/>
          </w:tcPr>
          <w:p w14:paraId="09D029B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u w:val="none"/>
                <w:lang w:val="en-US" w:eastAsia="zh-CN" w:bidi="ar"/>
              </w:rPr>
              <w:t>实施公立医院全面预算管理，建立“预算、编制、执行、监控、考核”全流程管理机制，对执行进度滞后、偏离预算的项目及时预警、督促整改，严禁无预算支出、超预算支出。</w:t>
            </w:r>
          </w:p>
        </w:tc>
        <w:tc>
          <w:tcPr>
            <w:tcW w:w="2126" w:type="dxa"/>
            <w:vAlign w:val="center"/>
          </w:tcPr>
          <w:p w14:paraId="1434B9F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leftChars="0" w:right="0" w:rightChars="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eastAsia" w:ascii="Times New Roman" w:hAnsi="Times New Roman" w:eastAsia="仿宋_GB2312" w:cs="Times New Roman"/>
                <w:i w:val="0"/>
                <w:iCs w:val="0"/>
                <w:color w:val="000000"/>
                <w:kern w:val="0"/>
                <w:sz w:val="21"/>
                <w:szCs w:val="21"/>
                <w:highlight w:val="none"/>
                <w:u w:val="none"/>
                <w:lang w:val="en-US" w:eastAsia="zh-CN" w:bidi="ar"/>
              </w:rPr>
              <w:t>旗</w:t>
            </w:r>
            <w:r>
              <w:rPr>
                <w:rFonts w:hint="default" w:ascii="Times New Roman" w:hAnsi="Times New Roman" w:eastAsia="仿宋_GB2312" w:cs="Times New Roman"/>
                <w:i w:val="0"/>
                <w:iCs w:val="0"/>
                <w:color w:val="000000"/>
                <w:kern w:val="0"/>
                <w:sz w:val="21"/>
                <w:szCs w:val="21"/>
                <w:highlight w:val="none"/>
                <w:u w:val="none"/>
                <w:lang w:val="en-US" w:eastAsia="zh-CN" w:bidi="ar"/>
              </w:rPr>
              <w:t>卫健委</w:t>
            </w:r>
          </w:p>
        </w:tc>
        <w:tc>
          <w:tcPr>
            <w:tcW w:w="1402" w:type="dxa"/>
            <w:vAlign w:val="center"/>
          </w:tcPr>
          <w:p w14:paraId="3C97C9D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u w:val="none"/>
                <w:lang w:val="en-US" w:eastAsia="zh-CN" w:bidi="ar"/>
              </w:rPr>
              <w:t>2027年9月</w:t>
            </w:r>
          </w:p>
        </w:tc>
      </w:tr>
      <w:tr w14:paraId="65A2F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5" w:type="dxa"/>
            <w:vMerge w:val="continue"/>
            <w:vAlign w:val="center"/>
          </w:tcPr>
          <w:p w14:paraId="07B387D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rPr>
                <w:rFonts w:hint="default" w:ascii="Times New Roman" w:hAnsi="Times New Roman" w:eastAsia="仿宋_GB2312" w:cs="Times New Roman"/>
                <w:color w:val="auto"/>
                <w:kern w:val="0"/>
                <w:sz w:val="21"/>
                <w:szCs w:val="21"/>
                <w:highlight w:val="none"/>
                <w:u w:val="none"/>
                <w:shd w:val="clear" w:color="auto" w:fill="FFFFFF"/>
                <w:vertAlign w:val="baseline"/>
              </w:rPr>
            </w:pPr>
          </w:p>
        </w:tc>
        <w:tc>
          <w:tcPr>
            <w:tcW w:w="2005" w:type="dxa"/>
            <w:vMerge w:val="continue"/>
            <w:vAlign w:val="center"/>
          </w:tcPr>
          <w:p w14:paraId="6164BDA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rPr>
                <w:rFonts w:hint="default" w:ascii="Times New Roman" w:hAnsi="Times New Roman" w:eastAsia="仿宋_GB2312" w:cs="Times New Roman"/>
                <w:color w:val="auto"/>
                <w:kern w:val="0"/>
                <w:sz w:val="21"/>
                <w:szCs w:val="21"/>
                <w:highlight w:val="none"/>
                <w:u w:val="none"/>
                <w:shd w:val="clear" w:color="auto" w:fill="FFFFFF"/>
                <w:vertAlign w:val="baseline"/>
              </w:rPr>
            </w:pPr>
          </w:p>
        </w:tc>
        <w:tc>
          <w:tcPr>
            <w:tcW w:w="6133" w:type="dxa"/>
            <w:vAlign w:val="center"/>
          </w:tcPr>
          <w:p w14:paraId="3E27F2F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u w:val="none"/>
                <w:lang w:val="en-US" w:eastAsia="zh-CN" w:bidi="ar"/>
              </w:rPr>
              <w:t>积极适应DIP付费改革，加强医疗成本管控，开展成本核算分析，在保证医疗质量的前提下，优化临床路径管理，压缩药品耗材收入，提高医疗服务收入占比，增加公立医院有效收入。</w:t>
            </w:r>
          </w:p>
        </w:tc>
        <w:tc>
          <w:tcPr>
            <w:tcW w:w="2126" w:type="dxa"/>
            <w:vAlign w:val="center"/>
          </w:tcPr>
          <w:p w14:paraId="75EDB28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leftChars="0" w:right="0" w:rightChars="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eastAsia" w:ascii="Times New Roman" w:hAnsi="Times New Roman" w:eastAsia="仿宋_GB2312" w:cs="Times New Roman"/>
                <w:i w:val="0"/>
                <w:iCs w:val="0"/>
                <w:color w:val="000000"/>
                <w:kern w:val="0"/>
                <w:sz w:val="21"/>
                <w:szCs w:val="21"/>
                <w:highlight w:val="none"/>
                <w:u w:val="none"/>
                <w:lang w:val="en-US" w:eastAsia="zh-CN" w:bidi="ar"/>
              </w:rPr>
              <w:t>旗</w:t>
            </w:r>
            <w:r>
              <w:rPr>
                <w:rFonts w:hint="default" w:ascii="Times New Roman" w:hAnsi="Times New Roman" w:eastAsia="仿宋_GB2312" w:cs="Times New Roman"/>
                <w:i w:val="0"/>
                <w:iCs w:val="0"/>
                <w:color w:val="000000"/>
                <w:kern w:val="0"/>
                <w:sz w:val="21"/>
                <w:szCs w:val="21"/>
                <w:highlight w:val="none"/>
                <w:u w:val="none"/>
                <w:lang w:val="en-US" w:eastAsia="zh-CN" w:bidi="ar"/>
              </w:rPr>
              <w:t>卫健委</w:t>
            </w:r>
          </w:p>
        </w:tc>
        <w:tc>
          <w:tcPr>
            <w:tcW w:w="1402" w:type="dxa"/>
            <w:vAlign w:val="center"/>
          </w:tcPr>
          <w:p w14:paraId="5AEC425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u w:val="none"/>
                <w:lang w:val="en-US" w:eastAsia="zh-CN" w:bidi="ar"/>
              </w:rPr>
              <w:t>2027年9月</w:t>
            </w:r>
          </w:p>
        </w:tc>
      </w:tr>
      <w:tr w14:paraId="561B2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5" w:hRule="atLeast"/>
          <w:jc w:val="center"/>
        </w:trPr>
        <w:tc>
          <w:tcPr>
            <w:tcW w:w="1595" w:type="dxa"/>
            <w:vMerge w:val="restart"/>
            <w:vAlign w:val="center"/>
          </w:tcPr>
          <w:p w14:paraId="7C3D343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u w:val="none"/>
                <w:lang w:val="en-US" w:eastAsia="zh-CN" w:bidi="ar"/>
              </w:rPr>
              <w:t>促进公立医院高质量发展</w:t>
            </w:r>
          </w:p>
        </w:tc>
        <w:tc>
          <w:tcPr>
            <w:tcW w:w="2005" w:type="dxa"/>
            <w:vAlign w:val="center"/>
          </w:tcPr>
          <w:p w14:paraId="5DACB2A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u w:val="none"/>
                <w:lang w:val="en-US" w:eastAsia="zh-CN" w:bidi="ar"/>
              </w:rPr>
              <w:t>夯实卫生健康人才队伍基础</w:t>
            </w:r>
          </w:p>
        </w:tc>
        <w:tc>
          <w:tcPr>
            <w:tcW w:w="6133" w:type="dxa"/>
            <w:vAlign w:val="center"/>
          </w:tcPr>
          <w:p w14:paraId="11DE93F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color w:val="auto"/>
                <w:kern w:val="0"/>
                <w:sz w:val="21"/>
                <w:szCs w:val="21"/>
                <w:highlight w:val="none"/>
                <w:u w:val="none"/>
                <w:shd w:val="clear" w:color="auto" w:fill="FFFFFF"/>
                <w:vertAlign w:val="baseline"/>
              </w:rPr>
              <w:t>将人才作为第一资源，坚持“引优”与“育强”并举；围绕我旗疾病谱特点及转外就医突出病种，柔性引进市级及区内外高水平专家，定期派出骨干专业技术人员到市级医院进修培训；加强行政管理人员职业化培训，系统开展基层卫生健康人才培训，打造结构合理、业务精湛、管理能力突出的人才队伍，保障医院可持续发展。</w:t>
            </w:r>
          </w:p>
        </w:tc>
        <w:tc>
          <w:tcPr>
            <w:tcW w:w="2126" w:type="dxa"/>
            <w:vAlign w:val="center"/>
          </w:tcPr>
          <w:p w14:paraId="565A4BB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lang w:val="en-US" w:eastAsia="zh-CN"/>
              </w:rPr>
            </w:pPr>
            <w:r>
              <w:rPr>
                <w:rFonts w:hint="eastAsia" w:ascii="Times New Roman" w:hAnsi="Times New Roman" w:eastAsia="仿宋_GB2312" w:cs="Times New Roman"/>
                <w:i w:val="0"/>
                <w:iCs w:val="0"/>
                <w:color w:val="000000"/>
                <w:kern w:val="0"/>
                <w:sz w:val="21"/>
                <w:szCs w:val="21"/>
                <w:highlight w:val="none"/>
                <w:u w:val="none"/>
                <w:lang w:val="en-US" w:eastAsia="zh-CN" w:bidi="ar"/>
              </w:rPr>
              <w:t>旗</w:t>
            </w:r>
            <w:r>
              <w:rPr>
                <w:rFonts w:hint="default" w:ascii="Times New Roman" w:hAnsi="Times New Roman" w:eastAsia="仿宋_GB2312" w:cs="Times New Roman"/>
                <w:i w:val="0"/>
                <w:iCs w:val="0"/>
                <w:color w:val="000000"/>
                <w:kern w:val="0"/>
                <w:sz w:val="21"/>
                <w:szCs w:val="21"/>
                <w:highlight w:val="none"/>
                <w:u w:val="none"/>
                <w:lang w:val="en-US" w:eastAsia="zh-CN" w:bidi="ar"/>
              </w:rPr>
              <w:t>卫健委及相关医疗机构</w:t>
            </w:r>
          </w:p>
        </w:tc>
        <w:tc>
          <w:tcPr>
            <w:tcW w:w="1402" w:type="dxa"/>
            <w:vAlign w:val="center"/>
          </w:tcPr>
          <w:p w14:paraId="2AAC014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u w:val="none"/>
                <w:lang w:val="en-US" w:eastAsia="zh-CN" w:bidi="ar"/>
              </w:rPr>
              <w:t>2027年9月</w:t>
            </w:r>
          </w:p>
        </w:tc>
      </w:tr>
      <w:tr w14:paraId="6F5E7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5" w:type="dxa"/>
            <w:vMerge w:val="continue"/>
            <w:vAlign w:val="center"/>
          </w:tcPr>
          <w:p w14:paraId="386023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rPr>
                <w:rFonts w:hint="default" w:ascii="Times New Roman" w:hAnsi="Times New Roman" w:eastAsia="仿宋_GB2312" w:cs="Times New Roman"/>
                <w:color w:val="auto"/>
                <w:kern w:val="0"/>
                <w:sz w:val="21"/>
                <w:szCs w:val="21"/>
                <w:highlight w:val="none"/>
                <w:u w:val="none"/>
                <w:shd w:val="clear" w:color="auto" w:fill="FFFFFF"/>
                <w:vertAlign w:val="baseline"/>
              </w:rPr>
            </w:pPr>
          </w:p>
        </w:tc>
        <w:tc>
          <w:tcPr>
            <w:tcW w:w="2005" w:type="dxa"/>
            <w:vAlign w:val="center"/>
          </w:tcPr>
          <w:p w14:paraId="25BD3D7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u w:val="none"/>
                <w:lang w:val="en-US" w:eastAsia="zh-CN" w:bidi="ar"/>
              </w:rPr>
              <w:t>建设县域健康管理中心</w:t>
            </w:r>
          </w:p>
        </w:tc>
        <w:tc>
          <w:tcPr>
            <w:tcW w:w="6133" w:type="dxa"/>
            <w:vAlign w:val="center"/>
          </w:tcPr>
          <w:p w14:paraId="00A05F2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u w:val="none"/>
                <w:lang w:val="en-US" w:eastAsia="zh-CN" w:bidi="ar"/>
              </w:rPr>
              <w:t>建设“县—乡—村”三级联动健康管理中心，发挥医共体牵头医院健康管理中心作用，乡镇卫生院、社区卫生服务中心建设健康管理分中心。牵头医院借助人工智能（AI）、智能软件实现医疗服务模式持续优化。完成县域医共体内临床、公卫数据接口统一、认证统一、主索引统一改造，实现医共体内临床、公卫数据互联互通，构建“防、筛、诊、治、康、管”全链条健康管理模式。以家庭医生团队为主体统筹公共卫生资源，重点加强高血压、糖尿病、慢阻肺等慢性病患者全程规范管理，有效降低县域内四类慢性病过早死亡率。</w:t>
            </w:r>
          </w:p>
        </w:tc>
        <w:tc>
          <w:tcPr>
            <w:tcW w:w="2126" w:type="dxa"/>
            <w:vAlign w:val="center"/>
          </w:tcPr>
          <w:p w14:paraId="6AB7D99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lang w:val="en-US"/>
              </w:rPr>
            </w:pPr>
            <w:r>
              <w:rPr>
                <w:rFonts w:hint="default" w:ascii="Times New Roman" w:hAnsi="Times New Roman" w:eastAsia="仿宋_GB2312" w:cs="Times New Roman"/>
                <w:i w:val="0"/>
                <w:iCs w:val="0"/>
                <w:color w:val="000000"/>
                <w:kern w:val="0"/>
                <w:sz w:val="21"/>
                <w:szCs w:val="21"/>
                <w:u w:val="none"/>
                <w:lang w:val="en-US" w:eastAsia="zh-CN" w:bidi="ar"/>
              </w:rPr>
              <w:t>旗人民医院</w:t>
            </w:r>
          </w:p>
        </w:tc>
        <w:tc>
          <w:tcPr>
            <w:tcW w:w="1402" w:type="dxa"/>
            <w:vAlign w:val="center"/>
          </w:tcPr>
          <w:p w14:paraId="28A7415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u w:val="none"/>
                <w:lang w:val="en-US" w:eastAsia="zh-CN" w:bidi="ar"/>
              </w:rPr>
              <w:t>2027年9月</w:t>
            </w:r>
          </w:p>
        </w:tc>
      </w:tr>
      <w:tr w14:paraId="2CE49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5" w:type="dxa"/>
            <w:vMerge w:val="continue"/>
            <w:vAlign w:val="center"/>
          </w:tcPr>
          <w:p w14:paraId="77CDE29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rPr>
                <w:rFonts w:hint="default" w:ascii="Times New Roman" w:hAnsi="Times New Roman" w:eastAsia="仿宋_GB2312" w:cs="Times New Roman"/>
                <w:color w:val="auto"/>
                <w:kern w:val="0"/>
                <w:sz w:val="21"/>
                <w:szCs w:val="21"/>
                <w:highlight w:val="none"/>
                <w:u w:val="none"/>
                <w:shd w:val="clear" w:color="auto" w:fill="FFFFFF"/>
                <w:vertAlign w:val="baseline"/>
              </w:rPr>
            </w:pPr>
          </w:p>
        </w:tc>
        <w:tc>
          <w:tcPr>
            <w:tcW w:w="2005" w:type="dxa"/>
            <w:vAlign w:val="center"/>
          </w:tcPr>
          <w:p w14:paraId="3BAA654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u w:val="none"/>
                <w:lang w:val="en-US" w:eastAsia="zh-CN" w:bidi="ar"/>
              </w:rPr>
              <w:t>优化全民健康信息化平台功能</w:t>
            </w:r>
          </w:p>
        </w:tc>
        <w:tc>
          <w:tcPr>
            <w:tcW w:w="6133" w:type="dxa"/>
            <w:vAlign w:val="center"/>
          </w:tcPr>
          <w:p w14:paraId="620F8AE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u w:val="none"/>
                <w:lang w:val="en-US" w:eastAsia="zh-CN" w:bidi="ar"/>
              </w:rPr>
              <w:t>依托市级全民健康信息化平台，升级改造我旗卫生健康信息化系统，实现与市级平台数据对接、“一次采集、多方利用”；汇聚旗域内卫生健康全链条数据，为市级全民健康信息平台提供数据支撑，同时借助市级大数据、AI算法实现健康数据实时分析、趋势预测和风险预警，提升旗域防病治病和健康管理能力，为各级医疗机构提供健康信息互联互通、共享应用服务。</w:t>
            </w:r>
          </w:p>
        </w:tc>
        <w:tc>
          <w:tcPr>
            <w:tcW w:w="2126" w:type="dxa"/>
            <w:vAlign w:val="center"/>
          </w:tcPr>
          <w:p w14:paraId="63C9E80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lang w:val="en-US"/>
              </w:rPr>
            </w:pPr>
            <w:r>
              <w:rPr>
                <w:rFonts w:hint="eastAsia" w:ascii="Times New Roman" w:hAnsi="Times New Roman" w:eastAsia="仿宋_GB2312" w:cs="Times New Roman"/>
                <w:i w:val="0"/>
                <w:iCs w:val="0"/>
                <w:color w:val="000000"/>
                <w:kern w:val="0"/>
                <w:sz w:val="21"/>
                <w:szCs w:val="21"/>
                <w:u w:val="none"/>
                <w:lang w:val="en-US" w:eastAsia="zh-CN" w:bidi="ar"/>
              </w:rPr>
              <w:t>旗</w:t>
            </w:r>
            <w:r>
              <w:rPr>
                <w:rFonts w:hint="default" w:ascii="Times New Roman" w:hAnsi="Times New Roman" w:eastAsia="仿宋_GB2312" w:cs="Times New Roman"/>
                <w:i w:val="0"/>
                <w:iCs w:val="0"/>
                <w:color w:val="000000"/>
                <w:kern w:val="0"/>
                <w:sz w:val="21"/>
                <w:szCs w:val="21"/>
                <w:u w:val="none"/>
                <w:lang w:val="en-US" w:eastAsia="zh-CN" w:bidi="ar"/>
              </w:rPr>
              <w:t>卫健委</w:t>
            </w:r>
          </w:p>
        </w:tc>
        <w:tc>
          <w:tcPr>
            <w:tcW w:w="1402" w:type="dxa"/>
            <w:vAlign w:val="center"/>
          </w:tcPr>
          <w:p w14:paraId="1B5D13F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u w:val="none"/>
                <w:lang w:val="en-US" w:eastAsia="zh-CN" w:bidi="ar"/>
              </w:rPr>
              <w:t>2027年9月</w:t>
            </w:r>
          </w:p>
        </w:tc>
      </w:tr>
      <w:tr w14:paraId="46A39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5" w:type="dxa"/>
            <w:vMerge w:val="continue"/>
            <w:vAlign w:val="center"/>
          </w:tcPr>
          <w:p w14:paraId="31BBBE5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rPr>
                <w:rFonts w:hint="default" w:ascii="Times New Roman" w:hAnsi="Times New Roman" w:eastAsia="仿宋_GB2312" w:cs="Times New Roman"/>
                <w:color w:val="auto"/>
                <w:kern w:val="0"/>
                <w:sz w:val="21"/>
                <w:szCs w:val="21"/>
                <w:highlight w:val="none"/>
                <w:u w:val="none"/>
                <w:shd w:val="clear" w:color="auto" w:fill="FFFFFF"/>
                <w:vertAlign w:val="baseline"/>
              </w:rPr>
            </w:pPr>
          </w:p>
        </w:tc>
        <w:tc>
          <w:tcPr>
            <w:tcW w:w="2005" w:type="dxa"/>
            <w:vAlign w:val="center"/>
          </w:tcPr>
          <w:p w14:paraId="1C9BF5A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u w:val="none"/>
                <w:lang w:val="en-US" w:eastAsia="zh-CN" w:bidi="ar"/>
              </w:rPr>
              <w:t>提升公立医院信息化建设水平</w:t>
            </w:r>
          </w:p>
        </w:tc>
        <w:tc>
          <w:tcPr>
            <w:tcW w:w="6133" w:type="dxa"/>
            <w:vAlign w:val="center"/>
          </w:tcPr>
          <w:p w14:paraId="52DCFEE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u w:val="none"/>
                <w:lang w:val="en-US" w:eastAsia="zh-CN" w:bidi="ar"/>
              </w:rPr>
              <w:t>围绕公立医院高质量发展目标，建设科学的绩效考核指标体系，整合HIS、LIS、PACS等数据资源，推动绩效考核与临床、运营、患者服务等业务深度融合，形成“业务产生数据、数据驱动考核、考核反哺管理”的闭环，全面提升医院管理能力与核心竞争力。</w:t>
            </w:r>
          </w:p>
        </w:tc>
        <w:tc>
          <w:tcPr>
            <w:tcW w:w="2126" w:type="dxa"/>
            <w:vAlign w:val="center"/>
          </w:tcPr>
          <w:p w14:paraId="487D5D2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lang w:val="en-US"/>
              </w:rPr>
            </w:pPr>
            <w:r>
              <w:rPr>
                <w:rFonts w:hint="eastAsia" w:ascii="Times New Roman" w:hAnsi="Times New Roman" w:eastAsia="仿宋_GB2312" w:cs="Times New Roman"/>
                <w:i w:val="0"/>
                <w:iCs w:val="0"/>
                <w:color w:val="000000"/>
                <w:kern w:val="0"/>
                <w:sz w:val="21"/>
                <w:szCs w:val="21"/>
                <w:u w:val="none"/>
                <w:lang w:val="en-US" w:eastAsia="zh-CN" w:bidi="ar"/>
              </w:rPr>
              <w:t>旗</w:t>
            </w:r>
            <w:r>
              <w:rPr>
                <w:rFonts w:hint="default" w:ascii="Times New Roman" w:hAnsi="Times New Roman" w:eastAsia="仿宋_GB2312" w:cs="Times New Roman"/>
                <w:i w:val="0"/>
                <w:iCs w:val="0"/>
                <w:color w:val="000000"/>
                <w:kern w:val="0"/>
                <w:sz w:val="21"/>
                <w:szCs w:val="21"/>
                <w:u w:val="none"/>
                <w:lang w:val="en-US" w:eastAsia="zh-CN" w:bidi="ar"/>
              </w:rPr>
              <w:t>卫健委</w:t>
            </w:r>
          </w:p>
        </w:tc>
        <w:tc>
          <w:tcPr>
            <w:tcW w:w="1402" w:type="dxa"/>
            <w:vAlign w:val="center"/>
          </w:tcPr>
          <w:p w14:paraId="50B83D6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u w:val="none"/>
                <w:lang w:val="en-US" w:eastAsia="zh-CN" w:bidi="ar"/>
              </w:rPr>
              <w:t>2027年9月</w:t>
            </w:r>
          </w:p>
        </w:tc>
      </w:tr>
      <w:tr w14:paraId="551C3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5" w:type="dxa"/>
            <w:vMerge w:val="continue"/>
            <w:vAlign w:val="center"/>
          </w:tcPr>
          <w:p w14:paraId="4AFDBED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rPr>
                <w:rFonts w:hint="default" w:ascii="Times New Roman" w:hAnsi="Times New Roman" w:eastAsia="仿宋_GB2312" w:cs="Times New Roman"/>
                <w:color w:val="auto"/>
                <w:kern w:val="0"/>
                <w:sz w:val="21"/>
                <w:szCs w:val="21"/>
                <w:highlight w:val="none"/>
                <w:u w:val="none"/>
                <w:shd w:val="clear" w:color="auto" w:fill="FFFFFF"/>
                <w:vertAlign w:val="baseline"/>
              </w:rPr>
            </w:pPr>
          </w:p>
        </w:tc>
        <w:tc>
          <w:tcPr>
            <w:tcW w:w="2005" w:type="dxa"/>
            <w:vAlign w:val="center"/>
          </w:tcPr>
          <w:p w14:paraId="0B86691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u w:val="none"/>
                <w:lang w:val="en-US" w:eastAsia="zh-CN" w:bidi="ar"/>
              </w:rPr>
              <w:t>强化院前急救能力</w:t>
            </w:r>
          </w:p>
        </w:tc>
        <w:tc>
          <w:tcPr>
            <w:tcW w:w="6133" w:type="dxa"/>
            <w:vAlign w:val="center"/>
          </w:tcPr>
          <w:p w14:paraId="50731FE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u w:val="none"/>
                <w:lang w:val="en-US" w:eastAsia="zh-CN" w:bidi="ar"/>
              </w:rPr>
              <w:t>依托全市救护车智能化分类、分区域管理平台，实现备案、调度、监管一体化，构建高效协同、安全可靠的全旗急救指挥调度全链条闭环管理体系。基于国产化硬件与操作系统，升级调度系统AI智能化管理，强化急救数据安全性，提升核心业务安全防护能力。</w:t>
            </w:r>
          </w:p>
        </w:tc>
        <w:tc>
          <w:tcPr>
            <w:tcW w:w="2126" w:type="dxa"/>
            <w:vAlign w:val="center"/>
          </w:tcPr>
          <w:p w14:paraId="403CBF1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lang w:val="en-US"/>
              </w:rPr>
            </w:pPr>
            <w:r>
              <w:rPr>
                <w:rFonts w:hint="default" w:ascii="Times New Roman" w:hAnsi="Times New Roman" w:eastAsia="仿宋_GB2312" w:cs="Times New Roman"/>
                <w:i w:val="0"/>
                <w:iCs w:val="0"/>
                <w:color w:val="000000"/>
                <w:kern w:val="0"/>
                <w:sz w:val="21"/>
                <w:szCs w:val="21"/>
                <w:u w:val="none"/>
                <w:lang w:val="en-US" w:eastAsia="zh-CN" w:bidi="ar"/>
              </w:rPr>
              <w:t>旗人民医院</w:t>
            </w:r>
          </w:p>
        </w:tc>
        <w:tc>
          <w:tcPr>
            <w:tcW w:w="1402" w:type="dxa"/>
            <w:vAlign w:val="center"/>
          </w:tcPr>
          <w:p w14:paraId="7627C6B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u w:val="none"/>
                <w:lang w:val="en-US" w:eastAsia="zh-CN" w:bidi="ar"/>
              </w:rPr>
              <w:t>2027年9月</w:t>
            </w:r>
          </w:p>
        </w:tc>
      </w:tr>
    </w:tbl>
    <w:p w14:paraId="65E4BDE4">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eastAsia="方正小标宋简体" w:cs="Times New Roman"/>
          <w:sz w:val="44"/>
          <w:szCs w:val="44"/>
          <w:lang w:val="en-US" w:eastAsia="zh-CN"/>
        </w:rPr>
      </w:pPr>
    </w:p>
    <w:p w14:paraId="7CBE495F">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eastAsia="方正小标宋简体" w:cs="Times New Roman"/>
          <w:sz w:val="44"/>
          <w:szCs w:val="44"/>
          <w:lang w:val="en-US" w:eastAsia="zh-CN"/>
        </w:rPr>
        <w:sectPr>
          <w:pgSz w:w="16838" w:h="11906" w:orient="landscape"/>
          <w:pgMar w:top="1800" w:right="1440" w:bottom="1800" w:left="1440" w:header="851" w:footer="992" w:gutter="0"/>
          <w:pgNumType w:fmt="numberInDash"/>
          <w:cols w:space="425" w:num="1"/>
          <w:docGrid w:type="lines" w:linePitch="312" w:charSpace="0"/>
        </w:sectPr>
      </w:pPr>
    </w:p>
    <w:p w14:paraId="42EC3A3F">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eastAsia="仿宋_GB2312" w:cs="Times New Roman"/>
          <w:sz w:val="32"/>
          <w:szCs w:val="32"/>
          <w:lang w:val="en-US" w:eastAsia="zh-CN"/>
        </w:rPr>
      </w:pPr>
      <w:r>
        <w:rPr>
          <w:rFonts w:hint="eastAsia" w:ascii="黑体" w:hAnsi="黑体" w:eastAsia="黑体" w:cs="黑体"/>
          <w:sz w:val="32"/>
          <w:szCs w:val="32"/>
          <w:lang w:val="en-US" w:eastAsia="zh-CN"/>
        </w:rPr>
        <w:t>附件</w:t>
      </w:r>
      <w:r>
        <w:rPr>
          <w:rFonts w:hint="default" w:ascii="Times New Roman" w:hAnsi="Times New Roman" w:eastAsia="仿宋_GB2312" w:cs="Times New Roman"/>
          <w:sz w:val="32"/>
          <w:szCs w:val="32"/>
          <w:lang w:val="en-US" w:eastAsia="zh-CN"/>
        </w:rPr>
        <w:t>2</w:t>
      </w:r>
    </w:p>
    <w:p w14:paraId="69C13FB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sz w:val="44"/>
          <w:szCs w:val="44"/>
          <w:lang w:val="en-US" w:eastAsia="zh-CN"/>
        </w:rPr>
      </w:pPr>
    </w:p>
    <w:p w14:paraId="46A8E1E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lang w:val="en-US" w:eastAsia="zh-CN"/>
        </w:rPr>
        <w:t>乌拉特后旗</w:t>
      </w:r>
      <w:r>
        <w:rPr>
          <w:rFonts w:hint="default" w:ascii="Times New Roman" w:hAnsi="Times New Roman" w:eastAsia="方正小标宋简体" w:cs="Times New Roman"/>
          <w:sz w:val="44"/>
          <w:szCs w:val="44"/>
        </w:rPr>
        <w:t>中央财政支持公立医院改革</w:t>
      </w:r>
    </w:p>
    <w:p w14:paraId="181696D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rPr>
        <w:t>与高质量发展</w:t>
      </w:r>
      <w:r>
        <w:rPr>
          <w:rFonts w:hint="default" w:ascii="Times New Roman" w:hAnsi="Times New Roman" w:eastAsia="方正小标宋简体" w:cs="Times New Roman"/>
          <w:sz w:val="44"/>
          <w:szCs w:val="44"/>
          <w:lang w:eastAsia="zh-CN"/>
        </w:rPr>
        <w:t>提升项目</w:t>
      </w:r>
      <w:r>
        <w:rPr>
          <w:rFonts w:hint="default" w:ascii="Times New Roman" w:hAnsi="Times New Roman" w:eastAsia="方正小标宋简体" w:cs="Times New Roman"/>
          <w:sz w:val="44"/>
          <w:szCs w:val="44"/>
          <w:lang w:val="en-US" w:eastAsia="zh-CN"/>
        </w:rPr>
        <w:t>工作</w:t>
      </w:r>
    </w:p>
    <w:p w14:paraId="7CD02BE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val="en-US" w:eastAsia="zh-CN"/>
        </w:rPr>
        <w:t>临时推进机制</w:t>
      </w:r>
    </w:p>
    <w:p w14:paraId="7A51578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sz w:val="32"/>
          <w:szCs w:val="32"/>
        </w:rPr>
      </w:pPr>
    </w:p>
    <w:p w14:paraId="17DB3D6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一、推进机制组成人员及职责</w:t>
      </w:r>
    </w:p>
    <w:p w14:paraId="5ACCFC59">
      <w:pPr>
        <w:keepNext w:val="0"/>
        <w:keepLines w:val="0"/>
        <w:pageBreakBefore w:val="0"/>
        <w:widowControl w:val="0"/>
        <w:tabs>
          <w:tab w:val="left" w:pos="4410"/>
        </w:tab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组</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长</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王  砚</w:t>
      </w:r>
      <w:r>
        <w:rPr>
          <w:rFonts w:hint="eastAsia" w:ascii="Times New Roman" w:hAnsi="Times New Roman" w:eastAsia="仿宋_GB2312" w:cs="Times New Roman"/>
          <w:sz w:val="32"/>
          <w:szCs w:val="32"/>
          <w:lang w:val="en-US" w:eastAsia="zh-CN"/>
        </w:rPr>
        <w:tab/>
      </w:r>
      <w:r>
        <w:rPr>
          <w:rFonts w:hint="default" w:ascii="Times New Roman" w:hAnsi="Times New Roman" w:eastAsia="仿宋_GB2312" w:cs="Times New Roman"/>
          <w:sz w:val="32"/>
          <w:szCs w:val="32"/>
          <w:lang w:val="en-US" w:eastAsia="zh-CN"/>
        </w:rPr>
        <w:t>旗</w:t>
      </w:r>
      <w:r>
        <w:rPr>
          <w:rFonts w:hint="default" w:ascii="Times New Roman" w:hAnsi="Times New Roman" w:eastAsia="仿宋_GB2312" w:cs="Times New Roman"/>
          <w:sz w:val="32"/>
          <w:szCs w:val="32"/>
        </w:rPr>
        <w:t>政府副</w:t>
      </w:r>
      <w:r>
        <w:rPr>
          <w:rFonts w:hint="default" w:ascii="Times New Roman" w:hAnsi="Times New Roman" w:eastAsia="仿宋_GB2312" w:cs="Times New Roman"/>
          <w:sz w:val="32"/>
          <w:szCs w:val="32"/>
          <w:lang w:val="en-US" w:eastAsia="zh-CN"/>
        </w:rPr>
        <w:t>旗</w:t>
      </w:r>
      <w:r>
        <w:rPr>
          <w:rFonts w:hint="default" w:ascii="Times New Roman" w:hAnsi="Times New Roman" w:eastAsia="仿宋_GB2312" w:cs="Times New Roman"/>
          <w:sz w:val="32"/>
          <w:szCs w:val="32"/>
        </w:rPr>
        <w:t>长</w:t>
      </w:r>
    </w:p>
    <w:p w14:paraId="51706161">
      <w:pPr>
        <w:keepNext w:val="0"/>
        <w:keepLines w:val="0"/>
        <w:pageBreakBefore w:val="0"/>
        <w:widowControl w:val="0"/>
        <w:tabs>
          <w:tab w:val="left" w:pos="4410"/>
        </w:tab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u w:val="single"/>
          <w:lang w:eastAsia="zh-CN"/>
        </w:rPr>
      </w:pPr>
      <w:r>
        <w:rPr>
          <w:rFonts w:hint="default" w:ascii="Times New Roman" w:hAnsi="Times New Roman" w:eastAsia="仿宋_GB2312" w:cs="Times New Roman"/>
          <w:sz w:val="32"/>
          <w:szCs w:val="32"/>
        </w:rPr>
        <w:t>成</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员</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u w:val="none"/>
          <w:lang w:val="en-US" w:eastAsia="zh-CN"/>
        </w:rPr>
        <w:t>付  磊</w:t>
      </w:r>
      <w:r>
        <w:rPr>
          <w:rFonts w:hint="eastAsia" w:ascii="Times New Roman" w:hAnsi="Times New Roman" w:eastAsia="仿宋_GB2312" w:cs="Times New Roman"/>
          <w:sz w:val="32"/>
          <w:szCs w:val="32"/>
          <w:u w:val="none"/>
          <w:lang w:val="en-US" w:eastAsia="zh-CN"/>
        </w:rPr>
        <w:tab/>
      </w:r>
      <w:r>
        <w:rPr>
          <w:rFonts w:hint="default" w:ascii="Times New Roman" w:hAnsi="Times New Roman" w:eastAsia="仿宋_GB2312" w:cs="Times New Roman"/>
          <w:sz w:val="32"/>
          <w:szCs w:val="32"/>
          <w:lang w:val="en-US" w:eastAsia="zh-CN"/>
        </w:rPr>
        <w:t>旗</w:t>
      </w:r>
      <w:r>
        <w:rPr>
          <w:rFonts w:hint="default" w:ascii="Times New Roman" w:hAnsi="Times New Roman" w:eastAsia="仿宋_GB2312" w:cs="Times New Roman"/>
          <w:sz w:val="32"/>
          <w:szCs w:val="32"/>
          <w:u w:val="none"/>
        </w:rPr>
        <w:t>政府</w:t>
      </w:r>
      <w:r>
        <w:rPr>
          <w:rFonts w:hint="default" w:ascii="Times New Roman" w:hAnsi="Times New Roman" w:eastAsia="仿宋_GB2312" w:cs="Times New Roman"/>
          <w:sz w:val="32"/>
          <w:szCs w:val="32"/>
          <w:u w:val="none"/>
          <w:lang w:val="en-US" w:eastAsia="zh-CN"/>
        </w:rPr>
        <w:t>办</w:t>
      </w:r>
      <w:r>
        <w:rPr>
          <w:rFonts w:hint="default" w:ascii="Times New Roman" w:hAnsi="Times New Roman" w:eastAsia="仿宋_GB2312" w:cs="Times New Roman"/>
          <w:sz w:val="32"/>
          <w:szCs w:val="32"/>
          <w:u w:val="none"/>
        </w:rPr>
        <w:t>副</w:t>
      </w:r>
      <w:r>
        <w:rPr>
          <w:rFonts w:hint="default" w:ascii="Times New Roman" w:hAnsi="Times New Roman" w:eastAsia="仿宋_GB2312" w:cs="Times New Roman"/>
          <w:sz w:val="32"/>
          <w:szCs w:val="32"/>
          <w:u w:val="none"/>
          <w:lang w:val="en-US" w:eastAsia="zh-CN"/>
        </w:rPr>
        <w:t>科级干部</w:t>
      </w:r>
    </w:p>
    <w:p w14:paraId="109EA71A">
      <w:pPr>
        <w:keepNext w:val="0"/>
        <w:keepLines w:val="0"/>
        <w:pageBreakBefore w:val="0"/>
        <w:widowControl w:val="0"/>
        <w:tabs>
          <w:tab w:val="left" w:pos="4410"/>
        </w:tabs>
        <w:kinsoku/>
        <w:wordWrap/>
        <w:overflowPunct/>
        <w:topLinePunct w:val="0"/>
        <w:autoSpaceDE/>
        <w:autoSpaceDN/>
        <w:bidi w:val="0"/>
        <w:adjustRightInd/>
        <w:snapToGrid/>
        <w:spacing w:line="560" w:lineRule="exact"/>
        <w:ind w:firstLine="1920" w:firstLineChars="600"/>
        <w:textAlignment w:val="auto"/>
        <w:rPr>
          <w:rFonts w:hint="default" w:ascii="Times New Roman" w:hAnsi="Times New Roman" w:eastAsia="仿宋_GB2312" w:cs="Times New Roman"/>
          <w:sz w:val="32"/>
          <w:szCs w:val="32"/>
          <w:u w:val="single"/>
        </w:rPr>
      </w:pPr>
      <w:r>
        <w:rPr>
          <w:rFonts w:hint="default" w:ascii="Times New Roman" w:hAnsi="Times New Roman" w:eastAsia="仿宋_GB2312" w:cs="Times New Roman"/>
          <w:sz w:val="32"/>
          <w:szCs w:val="32"/>
          <w:u w:val="none"/>
          <w:lang w:val="en-US" w:eastAsia="zh-CN"/>
        </w:rPr>
        <w:t>陈  斐</w:t>
      </w:r>
      <w:r>
        <w:rPr>
          <w:rFonts w:hint="eastAsia" w:ascii="Times New Roman" w:hAnsi="Times New Roman" w:eastAsia="仿宋_GB2312" w:cs="Times New Roman"/>
          <w:sz w:val="32"/>
          <w:szCs w:val="32"/>
          <w:u w:val="none"/>
          <w:lang w:val="en-US" w:eastAsia="zh-CN"/>
        </w:rPr>
        <w:tab/>
      </w:r>
      <w:r>
        <w:rPr>
          <w:rFonts w:hint="default" w:ascii="Times New Roman" w:hAnsi="Times New Roman" w:eastAsia="仿宋_GB2312" w:cs="Times New Roman"/>
          <w:sz w:val="32"/>
          <w:szCs w:val="32"/>
          <w:u w:val="none"/>
          <w:lang w:val="en-US" w:eastAsia="zh-CN"/>
        </w:rPr>
        <w:t>旗</w:t>
      </w:r>
      <w:r>
        <w:rPr>
          <w:rFonts w:hint="default" w:ascii="Times New Roman" w:hAnsi="Times New Roman" w:eastAsia="仿宋_GB2312" w:cs="Times New Roman"/>
          <w:sz w:val="32"/>
          <w:szCs w:val="32"/>
          <w:u w:val="none"/>
        </w:rPr>
        <w:t>委编办主任</w:t>
      </w:r>
    </w:p>
    <w:p w14:paraId="660413FF">
      <w:pPr>
        <w:keepNext w:val="0"/>
        <w:keepLines w:val="0"/>
        <w:pageBreakBefore w:val="0"/>
        <w:widowControl w:val="0"/>
        <w:tabs>
          <w:tab w:val="left" w:pos="4410"/>
        </w:tabs>
        <w:kinsoku/>
        <w:wordWrap/>
        <w:overflowPunct/>
        <w:topLinePunct w:val="0"/>
        <w:autoSpaceDE/>
        <w:autoSpaceDN/>
        <w:bidi w:val="0"/>
        <w:adjustRightInd/>
        <w:snapToGrid/>
        <w:spacing w:line="560" w:lineRule="exact"/>
        <w:ind w:firstLine="1920" w:firstLineChars="600"/>
        <w:textAlignment w:val="auto"/>
        <w:rPr>
          <w:rFonts w:hint="default" w:ascii="Times New Roman" w:hAnsi="Times New Roman" w:eastAsia="仿宋_GB2312" w:cs="Times New Roman"/>
          <w:sz w:val="32"/>
          <w:szCs w:val="32"/>
          <w:u w:val="single"/>
        </w:rPr>
      </w:pPr>
      <w:r>
        <w:rPr>
          <w:rFonts w:hint="default" w:ascii="Times New Roman" w:hAnsi="Times New Roman" w:eastAsia="仿宋_GB2312" w:cs="Times New Roman"/>
          <w:sz w:val="32"/>
          <w:szCs w:val="32"/>
          <w:u w:val="none"/>
          <w:lang w:val="en-US" w:eastAsia="zh-CN"/>
        </w:rPr>
        <w:t>张晋超</w:t>
      </w:r>
      <w:r>
        <w:rPr>
          <w:rFonts w:hint="eastAsia" w:ascii="Times New Roman" w:hAnsi="Times New Roman" w:eastAsia="仿宋_GB2312" w:cs="Times New Roman"/>
          <w:sz w:val="32"/>
          <w:szCs w:val="32"/>
          <w:u w:val="none"/>
          <w:lang w:val="en-US" w:eastAsia="zh-CN"/>
        </w:rPr>
        <w:tab/>
      </w:r>
      <w:r>
        <w:rPr>
          <w:rFonts w:hint="default" w:ascii="Times New Roman" w:hAnsi="Times New Roman" w:eastAsia="仿宋_GB2312" w:cs="Times New Roman"/>
          <w:sz w:val="32"/>
          <w:szCs w:val="32"/>
          <w:u w:val="none"/>
          <w:lang w:val="en-US" w:eastAsia="zh-CN"/>
        </w:rPr>
        <w:t>旗</w:t>
      </w:r>
      <w:r>
        <w:rPr>
          <w:rFonts w:hint="default" w:ascii="Times New Roman" w:hAnsi="Times New Roman" w:eastAsia="仿宋_GB2312" w:cs="Times New Roman"/>
          <w:sz w:val="32"/>
          <w:szCs w:val="32"/>
          <w:u w:val="none"/>
        </w:rPr>
        <w:t>发改委主任</w:t>
      </w:r>
    </w:p>
    <w:p w14:paraId="28494D19">
      <w:pPr>
        <w:keepNext w:val="0"/>
        <w:keepLines w:val="0"/>
        <w:pageBreakBefore w:val="0"/>
        <w:widowControl w:val="0"/>
        <w:tabs>
          <w:tab w:val="left" w:pos="4410"/>
        </w:tabs>
        <w:kinsoku/>
        <w:wordWrap/>
        <w:overflowPunct/>
        <w:topLinePunct w:val="0"/>
        <w:autoSpaceDE/>
        <w:autoSpaceDN/>
        <w:bidi w:val="0"/>
        <w:adjustRightInd/>
        <w:snapToGrid/>
        <w:spacing w:line="560" w:lineRule="exact"/>
        <w:ind w:firstLine="1920" w:firstLineChars="600"/>
        <w:textAlignment w:val="auto"/>
        <w:rPr>
          <w:rFonts w:hint="default" w:ascii="Times New Roman" w:hAnsi="Times New Roman" w:eastAsia="仿宋_GB2312" w:cs="Times New Roman"/>
          <w:sz w:val="32"/>
          <w:szCs w:val="32"/>
          <w:u w:val="single"/>
        </w:rPr>
      </w:pPr>
      <w:r>
        <w:rPr>
          <w:rFonts w:hint="default" w:ascii="Times New Roman" w:hAnsi="Times New Roman" w:eastAsia="仿宋_GB2312" w:cs="Times New Roman"/>
          <w:sz w:val="32"/>
          <w:szCs w:val="32"/>
          <w:u w:val="none"/>
          <w:lang w:val="en-US" w:eastAsia="zh-CN"/>
        </w:rPr>
        <w:t>王会杰</w:t>
      </w:r>
      <w:r>
        <w:rPr>
          <w:rFonts w:hint="eastAsia" w:ascii="Times New Roman" w:hAnsi="Times New Roman" w:eastAsia="仿宋_GB2312" w:cs="Times New Roman"/>
          <w:sz w:val="32"/>
          <w:szCs w:val="32"/>
          <w:u w:val="none"/>
          <w:lang w:val="en-US" w:eastAsia="zh-CN"/>
        </w:rPr>
        <w:tab/>
      </w:r>
      <w:r>
        <w:rPr>
          <w:rFonts w:hint="default" w:ascii="Times New Roman" w:hAnsi="Times New Roman" w:eastAsia="仿宋_GB2312" w:cs="Times New Roman"/>
          <w:sz w:val="32"/>
          <w:szCs w:val="32"/>
          <w:u w:val="none"/>
          <w:lang w:val="en-US" w:eastAsia="zh-CN"/>
        </w:rPr>
        <w:t>旗</w:t>
      </w:r>
      <w:r>
        <w:rPr>
          <w:rFonts w:hint="default" w:ascii="Times New Roman" w:hAnsi="Times New Roman" w:eastAsia="仿宋_GB2312" w:cs="Times New Roman"/>
          <w:sz w:val="32"/>
          <w:szCs w:val="32"/>
          <w:u w:val="none"/>
        </w:rPr>
        <w:t>财政局局长</w:t>
      </w:r>
    </w:p>
    <w:p w14:paraId="6E70AAC4">
      <w:pPr>
        <w:keepNext w:val="0"/>
        <w:keepLines w:val="0"/>
        <w:pageBreakBefore w:val="0"/>
        <w:widowControl w:val="0"/>
        <w:tabs>
          <w:tab w:val="left" w:pos="4410"/>
        </w:tabs>
        <w:kinsoku/>
        <w:wordWrap/>
        <w:overflowPunct/>
        <w:topLinePunct w:val="0"/>
        <w:autoSpaceDE/>
        <w:autoSpaceDN/>
        <w:bidi w:val="0"/>
        <w:adjustRightInd/>
        <w:snapToGrid/>
        <w:spacing w:line="560" w:lineRule="exact"/>
        <w:ind w:firstLine="1920" w:firstLineChars="600"/>
        <w:textAlignment w:val="auto"/>
        <w:rPr>
          <w:rFonts w:hint="default" w:ascii="Times New Roman" w:hAnsi="Times New Roman" w:eastAsia="仿宋_GB2312" w:cs="Times New Roman"/>
          <w:sz w:val="32"/>
          <w:szCs w:val="32"/>
          <w:u w:val="none"/>
        </w:rPr>
      </w:pPr>
      <w:r>
        <w:rPr>
          <w:rFonts w:hint="default" w:ascii="Times New Roman" w:hAnsi="Times New Roman" w:eastAsia="仿宋_GB2312" w:cs="Times New Roman"/>
          <w:sz w:val="32"/>
          <w:szCs w:val="32"/>
          <w:u w:val="none"/>
          <w:lang w:val="en-US" w:eastAsia="zh-CN"/>
        </w:rPr>
        <w:t>敖日格乐</w:t>
      </w:r>
      <w:r>
        <w:rPr>
          <w:rFonts w:hint="eastAsia" w:ascii="Times New Roman" w:hAnsi="Times New Roman" w:eastAsia="仿宋_GB2312" w:cs="Times New Roman"/>
          <w:sz w:val="32"/>
          <w:szCs w:val="32"/>
          <w:u w:val="none"/>
          <w:lang w:val="en-US" w:eastAsia="zh-CN"/>
        </w:rPr>
        <w:tab/>
      </w:r>
      <w:r>
        <w:rPr>
          <w:rFonts w:hint="default" w:ascii="Times New Roman" w:hAnsi="Times New Roman" w:eastAsia="仿宋_GB2312" w:cs="Times New Roman"/>
          <w:sz w:val="32"/>
          <w:szCs w:val="32"/>
          <w:u w:val="none"/>
          <w:lang w:val="en-US" w:eastAsia="zh-CN"/>
        </w:rPr>
        <w:t>旗</w:t>
      </w:r>
      <w:r>
        <w:rPr>
          <w:rFonts w:hint="default" w:ascii="Times New Roman" w:hAnsi="Times New Roman" w:eastAsia="仿宋_GB2312" w:cs="Times New Roman"/>
          <w:sz w:val="32"/>
          <w:szCs w:val="32"/>
          <w:u w:val="none"/>
        </w:rPr>
        <w:t>人社局局长</w:t>
      </w:r>
    </w:p>
    <w:p w14:paraId="1CF37786">
      <w:pPr>
        <w:keepNext w:val="0"/>
        <w:keepLines w:val="0"/>
        <w:pageBreakBefore w:val="0"/>
        <w:widowControl w:val="0"/>
        <w:tabs>
          <w:tab w:val="left" w:pos="4410"/>
        </w:tabs>
        <w:kinsoku/>
        <w:wordWrap/>
        <w:overflowPunct/>
        <w:topLinePunct w:val="0"/>
        <w:autoSpaceDE/>
        <w:autoSpaceDN/>
        <w:bidi w:val="0"/>
        <w:adjustRightInd/>
        <w:snapToGrid/>
        <w:spacing w:line="560" w:lineRule="exact"/>
        <w:ind w:firstLine="1920" w:firstLineChars="600"/>
        <w:textAlignment w:val="auto"/>
        <w:rPr>
          <w:rFonts w:hint="default" w:ascii="Times New Roman" w:hAnsi="Times New Roman" w:eastAsia="仿宋_GB2312" w:cs="Times New Roman"/>
          <w:sz w:val="32"/>
          <w:szCs w:val="32"/>
          <w:u w:val="none"/>
          <w:lang w:val="en-US" w:eastAsia="zh-CN"/>
        </w:rPr>
      </w:pPr>
      <w:r>
        <w:rPr>
          <w:rFonts w:hint="default" w:ascii="Times New Roman" w:hAnsi="Times New Roman" w:eastAsia="仿宋_GB2312" w:cs="Times New Roman"/>
          <w:sz w:val="32"/>
          <w:szCs w:val="32"/>
          <w:u w:val="none"/>
          <w:lang w:val="en-US" w:eastAsia="zh-CN"/>
        </w:rPr>
        <w:t>王生明</w:t>
      </w:r>
      <w:r>
        <w:rPr>
          <w:rFonts w:hint="eastAsia" w:ascii="Times New Roman" w:hAnsi="Times New Roman" w:eastAsia="仿宋_GB2312" w:cs="Times New Roman"/>
          <w:sz w:val="32"/>
          <w:szCs w:val="32"/>
          <w:u w:val="none"/>
          <w:lang w:val="en-US" w:eastAsia="zh-CN"/>
        </w:rPr>
        <w:tab/>
      </w:r>
      <w:r>
        <w:rPr>
          <w:rFonts w:hint="default" w:ascii="Times New Roman" w:hAnsi="Times New Roman" w:eastAsia="仿宋_GB2312" w:cs="Times New Roman"/>
          <w:sz w:val="32"/>
          <w:szCs w:val="32"/>
          <w:u w:val="none"/>
          <w:lang w:val="en-US" w:eastAsia="zh-CN"/>
        </w:rPr>
        <w:t>旗</w:t>
      </w:r>
      <w:r>
        <w:rPr>
          <w:rFonts w:hint="eastAsia" w:ascii="Times New Roman" w:hAnsi="Times New Roman" w:eastAsia="仿宋_GB2312" w:cs="Times New Roman"/>
          <w:sz w:val="32"/>
          <w:szCs w:val="32"/>
          <w:u w:val="none"/>
          <w:lang w:eastAsia="zh-CN"/>
        </w:rPr>
        <w:t>卫健委</w:t>
      </w:r>
      <w:r>
        <w:rPr>
          <w:rFonts w:hint="default" w:ascii="Times New Roman" w:hAnsi="Times New Roman" w:eastAsia="仿宋_GB2312" w:cs="Times New Roman"/>
          <w:sz w:val="32"/>
          <w:szCs w:val="32"/>
          <w:u w:val="none"/>
          <w:lang w:val="en-US" w:eastAsia="zh-CN"/>
        </w:rPr>
        <w:t>主任</w:t>
      </w:r>
    </w:p>
    <w:p w14:paraId="3E0D3E77">
      <w:pPr>
        <w:keepNext w:val="0"/>
        <w:keepLines w:val="0"/>
        <w:pageBreakBefore w:val="0"/>
        <w:widowControl w:val="0"/>
        <w:tabs>
          <w:tab w:val="left" w:pos="4410"/>
        </w:tabs>
        <w:kinsoku/>
        <w:wordWrap/>
        <w:overflowPunct/>
        <w:topLinePunct w:val="0"/>
        <w:autoSpaceDE/>
        <w:autoSpaceDN/>
        <w:bidi w:val="0"/>
        <w:adjustRightInd/>
        <w:snapToGrid/>
        <w:spacing w:line="560" w:lineRule="exact"/>
        <w:ind w:firstLine="1920" w:firstLineChars="600"/>
        <w:textAlignment w:val="auto"/>
        <w:rPr>
          <w:rFonts w:hint="default" w:ascii="Times New Roman" w:hAnsi="Times New Roman" w:eastAsia="仿宋_GB2312" w:cs="Times New Roman"/>
          <w:sz w:val="32"/>
          <w:szCs w:val="32"/>
          <w:u w:val="single"/>
        </w:rPr>
      </w:pPr>
      <w:r>
        <w:rPr>
          <w:rFonts w:hint="default" w:ascii="Times New Roman" w:hAnsi="Times New Roman" w:eastAsia="仿宋_GB2312" w:cs="Times New Roman"/>
          <w:sz w:val="32"/>
          <w:szCs w:val="32"/>
          <w:lang w:val="en-US" w:eastAsia="zh-CN"/>
        </w:rPr>
        <w:t>张兆林</w:t>
      </w:r>
      <w:r>
        <w:rPr>
          <w:rFonts w:hint="eastAsia" w:ascii="Times New Roman" w:hAnsi="Times New Roman" w:eastAsia="仿宋_GB2312" w:cs="Times New Roman"/>
          <w:sz w:val="32"/>
          <w:szCs w:val="32"/>
          <w:lang w:val="en-US" w:eastAsia="zh-CN"/>
        </w:rPr>
        <w:tab/>
      </w:r>
      <w:r>
        <w:rPr>
          <w:rFonts w:hint="default" w:ascii="Times New Roman" w:hAnsi="Times New Roman" w:eastAsia="仿宋_GB2312" w:cs="Times New Roman"/>
          <w:sz w:val="32"/>
          <w:szCs w:val="32"/>
          <w:lang w:val="en-US" w:eastAsia="zh-CN"/>
        </w:rPr>
        <w:t>旗</w:t>
      </w:r>
      <w:r>
        <w:rPr>
          <w:rFonts w:hint="default" w:ascii="Times New Roman" w:hAnsi="Times New Roman" w:eastAsia="仿宋_GB2312" w:cs="Times New Roman"/>
          <w:sz w:val="32"/>
          <w:szCs w:val="32"/>
          <w:u w:val="none"/>
        </w:rPr>
        <w:t>市监局局长</w:t>
      </w:r>
    </w:p>
    <w:p w14:paraId="4C98537D">
      <w:pPr>
        <w:keepNext w:val="0"/>
        <w:keepLines w:val="0"/>
        <w:pageBreakBefore w:val="0"/>
        <w:widowControl w:val="0"/>
        <w:tabs>
          <w:tab w:val="left" w:pos="4410"/>
        </w:tabs>
        <w:kinsoku/>
        <w:wordWrap/>
        <w:overflowPunct/>
        <w:topLinePunct w:val="0"/>
        <w:autoSpaceDE/>
        <w:autoSpaceDN/>
        <w:bidi w:val="0"/>
        <w:adjustRightInd/>
        <w:snapToGrid/>
        <w:spacing w:line="560" w:lineRule="exact"/>
        <w:ind w:firstLine="1920" w:firstLineChars="600"/>
        <w:textAlignment w:val="auto"/>
        <w:rPr>
          <w:rFonts w:hint="default" w:ascii="Times New Roman" w:hAnsi="Times New Roman" w:eastAsia="仿宋_GB2312" w:cs="Times New Roman"/>
          <w:sz w:val="32"/>
          <w:szCs w:val="32"/>
          <w:u w:val="single"/>
        </w:rPr>
      </w:pPr>
      <w:r>
        <w:rPr>
          <w:rFonts w:hint="default" w:ascii="Times New Roman" w:hAnsi="Times New Roman" w:eastAsia="仿宋_GB2312" w:cs="Times New Roman"/>
          <w:sz w:val="32"/>
          <w:szCs w:val="32"/>
          <w:u w:val="none"/>
          <w:lang w:val="en-US" w:eastAsia="zh-CN"/>
        </w:rPr>
        <w:t>格日乐图雅</w:t>
      </w:r>
      <w:r>
        <w:rPr>
          <w:rFonts w:hint="eastAsia" w:ascii="Times New Roman" w:hAnsi="Times New Roman" w:eastAsia="仿宋_GB2312" w:cs="Times New Roman"/>
          <w:sz w:val="32"/>
          <w:szCs w:val="32"/>
          <w:u w:val="none"/>
          <w:lang w:val="en-US" w:eastAsia="zh-CN"/>
        </w:rPr>
        <w:tab/>
      </w:r>
      <w:r>
        <w:rPr>
          <w:rFonts w:hint="default" w:ascii="Times New Roman" w:hAnsi="Times New Roman" w:eastAsia="仿宋_GB2312" w:cs="Times New Roman"/>
          <w:sz w:val="32"/>
          <w:szCs w:val="32"/>
          <w:u w:val="none"/>
          <w:lang w:val="en-US" w:eastAsia="zh-CN"/>
        </w:rPr>
        <w:t>旗</w:t>
      </w:r>
      <w:r>
        <w:rPr>
          <w:rFonts w:hint="default" w:ascii="Times New Roman" w:hAnsi="Times New Roman" w:eastAsia="仿宋_GB2312" w:cs="Times New Roman"/>
          <w:sz w:val="32"/>
          <w:szCs w:val="32"/>
          <w:u w:val="none"/>
        </w:rPr>
        <w:t>医保局局长</w:t>
      </w:r>
    </w:p>
    <w:p w14:paraId="65BB103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推进机制下设办公室，</w:t>
      </w:r>
      <w:r>
        <w:rPr>
          <w:rFonts w:hint="default" w:ascii="Times New Roman" w:hAnsi="Times New Roman" w:eastAsia="仿宋_GB2312" w:cs="Times New Roman"/>
          <w:sz w:val="32"/>
          <w:szCs w:val="32"/>
          <w:u w:val="none"/>
        </w:rPr>
        <w:t>办公室主任由</w:t>
      </w:r>
      <w:r>
        <w:rPr>
          <w:rFonts w:hint="default" w:ascii="Times New Roman" w:hAnsi="Times New Roman" w:eastAsia="仿宋_GB2312" w:cs="Times New Roman"/>
          <w:sz w:val="32"/>
          <w:szCs w:val="32"/>
          <w:lang w:val="en-US" w:eastAsia="zh-CN"/>
        </w:rPr>
        <w:t>王生明</w:t>
      </w:r>
      <w:r>
        <w:rPr>
          <w:rFonts w:hint="default" w:ascii="Times New Roman" w:hAnsi="Times New Roman" w:eastAsia="仿宋_GB2312" w:cs="Times New Roman"/>
          <w:sz w:val="32"/>
          <w:szCs w:val="32"/>
          <w:u w:val="none"/>
          <w:lang w:val="en-US" w:eastAsia="zh-CN"/>
        </w:rPr>
        <w:t>同志</w:t>
      </w:r>
      <w:r>
        <w:rPr>
          <w:rFonts w:hint="default" w:ascii="Times New Roman" w:hAnsi="Times New Roman" w:eastAsia="仿宋_GB2312" w:cs="Times New Roman"/>
          <w:sz w:val="32"/>
          <w:szCs w:val="32"/>
          <w:u w:val="none"/>
        </w:rPr>
        <w:t>兼任，</w:t>
      </w:r>
      <w:r>
        <w:rPr>
          <w:rFonts w:hint="default" w:ascii="Times New Roman" w:hAnsi="Times New Roman" w:eastAsia="仿宋_GB2312" w:cs="Times New Roman"/>
          <w:sz w:val="32"/>
          <w:szCs w:val="32"/>
        </w:rPr>
        <w:t>日常工作由卫健委承担，负责</w:t>
      </w:r>
      <w:r>
        <w:rPr>
          <w:rFonts w:hint="default" w:ascii="Times New Roman" w:hAnsi="Times New Roman" w:eastAsia="仿宋_GB2312" w:cs="Times New Roman"/>
          <w:sz w:val="32"/>
          <w:szCs w:val="32"/>
          <w:lang w:eastAsia="zh-CN"/>
        </w:rPr>
        <w:t>提升项目</w:t>
      </w:r>
      <w:r>
        <w:rPr>
          <w:rFonts w:hint="default" w:ascii="Times New Roman" w:hAnsi="Times New Roman" w:eastAsia="仿宋_GB2312" w:cs="Times New Roman"/>
          <w:sz w:val="32"/>
          <w:szCs w:val="32"/>
        </w:rPr>
        <w:t>的统筹推进及各工作专班日常工作的协调调度。推进机制下设工作专班，组成人员及职责如下</w:t>
      </w:r>
      <w:r>
        <w:rPr>
          <w:rFonts w:hint="default" w:ascii="Times New Roman" w:hAnsi="Times New Roman" w:eastAsia="仿宋_GB2312" w:cs="Times New Roman"/>
          <w:sz w:val="32"/>
          <w:szCs w:val="32"/>
          <w:lang w:eastAsia="zh-CN"/>
        </w:rPr>
        <w:t>。</w:t>
      </w:r>
    </w:p>
    <w:p w14:paraId="4770CDB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楷体_GB2312" w:cs="Times New Roman"/>
          <w:b/>
          <w:bCs/>
          <w:sz w:val="32"/>
          <w:szCs w:val="32"/>
          <w:lang w:eastAsia="zh-CN"/>
        </w:rPr>
      </w:pPr>
      <w:r>
        <w:rPr>
          <w:rFonts w:hint="default" w:ascii="Times New Roman" w:hAnsi="Times New Roman" w:eastAsia="楷体_GB2312" w:cs="Times New Roman"/>
          <w:b/>
          <w:bCs/>
          <w:sz w:val="32"/>
          <w:szCs w:val="32"/>
          <w:lang w:eastAsia="zh-CN"/>
        </w:rPr>
        <w:t>（一）</w:t>
      </w:r>
      <w:r>
        <w:rPr>
          <w:rFonts w:hint="default" w:ascii="Times New Roman" w:hAnsi="Times New Roman" w:eastAsia="楷体_GB2312" w:cs="Times New Roman"/>
          <w:b/>
          <w:bCs/>
          <w:sz w:val="32"/>
          <w:szCs w:val="32"/>
          <w:lang w:val="en-US" w:eastAsia="zh-CN"/>
        </w:rPr>
        <w:t>公立医院改革与</w:t>
      </w:r>
      <w:r>
        <w:rPr>
          <w:rFonts w:hint="default" w:ascii="Times New Roman" w:hAnsi="Times New Roman" w:eastAsia="楷体_GB2312" w:cs="Times New Roman"/>
          <w:b/>
          <w:bCs/>
          <w:sz w:val="32"/>
          <w:szCs w:val="32"/>
          <w:lang w:eastAsia="zh-CN"/>
        </w:rPr>
        <w:t>医疗</w:t>
      </w:r>
      <w:r>
        <w:rPr>
          <w:rFonts w:hint="default" w:ascii="Times New Roman" w:hAnsi="Times New Roman" w:eastAsia="楷体_GB2312" w:cs="Times New Roman"/>
          <w:b/>
          <w:bCs/>
          <w:sz w:val="32"/>
          <w:szCs w:val="32"/>
          <w:lang w:val="en-US" w:eastAsia="zh-CN"/>
        </w:rPr>
        <w:t>服务</w:t>
      </w:r>
      <w:r>
        <w:rPr>
          <w:rFonts w:hint="default" w:ascii="Times New Roman" w:hAnsi="Times New Roman" w:eastAsia="楷体_GB2312" w:cs="Times New Roman"/>
          <w:b/>
          <w:bCs/>
          <w:sz w:val="32"/>
          <w:szCs w:val="32"/>
          <w:lang w:eastAsia="zh-CN"/>
        </w:rPr>
        <w:t>能力提升工作专班</w:t>
      </w:r>
    </w:p>
    <w:p w14:paraId="162DB4BD">
      <w:pPr>
        <w:keepNext w:val="0"/>
        <w:keepLines w:val="0"/>
        <w:pageBreakBefore w:val="0"/>
        <w:widowControl w:val="0"/>
        <w:tabs>
          <w:tab w:val="left" w:pos="4410"/>
        </w:tab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u w:val="single"/>
          <w:lang w:eastAsia="zh-CN"/>
        </w:rPr>
      </w:pPr>
      <w:r>
        <w:rPr>
          <w:rFonts w:hint="default" w:ascii="Times New Roman" w:hAnsi="Times New Roman" w:eastAsia="仿宋_GB2312" w:cs="Times New Roman"/>
          <w:sz w:val="32"/>
          <w:szCs w:val="32"/>
        </w:rPr>
        <w:t>组</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长</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u w:val="none"/>
          <w:lang w:val="en-US" w:eastAsia="zh-CN"/>
        </w:rPr>
        <w:t>王生明</w:t>
      </w:r>
      <w:r>
        <w:rPr>
          <w:rFonts w:hint="eastAsia" w:ascii="Times New Roman" w:hAnsi="Times New Roman" w:eastAsia="仿宋_GB2312" w:cs="Times New Roman"/>
          <w:sz w:val="32"/>
          <w:szCs w:val="32"/>
          <w:u w:val="none"/>
          <w:lang w:val="en-US" w:eastAsia="zh-CN"/>
        </w:rPr>
        <w:tab/>
      </w:r>
      <w:r>
        <w:rPr>
          <w:rFonts w:hint="default" w:ascii="Times New Roman" w:hAnsi="Times New Roman" w:eastAsia="仿宋_GB2312" w:cs="Times New Roman"/>
          <w:sz w:val="32"/>
          <w:szCs w:val="32"/>
          <w:u w:val="none"/>
          <w:lang w:val="en-US" w:eastAsia="zh-CN"/>
        </w:rPr>
        <w:t>旗</w:t>
      </w:r>
      <w:r>
        <w:rPr>
          <w:rFonts w:hint="eastAsia" w:ascii="Times New Roman" w:hAnsi="Times New Roman" w:eastAsia="仿宋_GB2312" w:cs="Times New Roman"/>
          <w:sz w:val="32"/>
          <w:szCs w:val="32"/>
          <w:u w:val="none"/>
          <w:lang w:eastAsia="zh-CN"/>
        </w:rPr>
        <w:t>卫健委</w:t>
      </w:r>
      <w:r>
        <w:rPr>
          <w:rFonts w:hint="default" w:ascii="Times New Roman" w:hAnsi="Times New Roman" w:eastAsia="仿宋_GB2312" w:cs="Times New Roman"/>
          <w:sz w:val="32"/>
          <w:szCs w:val="32"/>
          <w:u w:val="none"/>
        </w:rPr>
        <w:t>主任</w:t>
      </w:r>
    </w:p>
    <w:p w14:paraId="750AA91B">
      <w:pPr>
        <w:keepNext w:val="0"/>
        <w:keepLines w:val="0"/>
        <w:pageBreakBefore w:val="0"/>
        <w:widowControl w:val="0"/>
        <w:tabs>
          <w:tab w:val="left" w:pos="4410"/>
        </w:tab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副组长</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张  军</w:t>
      </w:r>
      <w:r>
        <w:rPr>
          <w:rFonts w:hint="eastAsia" w:ascii="Times New Roman" w:hAnsi="Times New Roman" w:eastAsia="仿宋_GB2312" w:cs="Times New Roman"/>
          <w:sz w:val="32"/>
          <w:szCs w:val="32"/>
          <w:lang w:val="en-US" w:eastAsia="zh-CN"/>
        </w:rPr>
        <w:tab/>
      </w:r>
      <w:r>
        <w:rPr>
          <w:rFonts w:hint="default" w:ascii="Times New Roman" w:hAnsi="Times New Roman" w:eastAsia="仿宋_GB2312" w:cs="Times New Roman"/>
          <w:sz w:val="32"/>
          <w:szCs w:val="32"/>
          <w:lang w:val="en-US" w:eastAsia="zh-CN"/>
        </w:rPr>
        <w:t>旗</w:t>
      </w:r>
      <w:r>
        <w:rPr>
          <w:rFonts w:hint="eastAsia" w:ascii="Times New Roman" w:hAnsi="Times New Roman" w:eastAsia="仿宋_GB2312" w:cs="Times New Roman"/>
          <w:sz w:val="32"/>
          <w:szCs w:val="32"/>
          <w:lang w:eastAsia="zh-CN"/>
        </w:rPr>
        <w:t>卫健委</w:t>
      </w:r>
      <w:r>
        <w:rPr>
          <w:rFonts w:hint="default" w:ascii="Times New Roman" w:hAnsi="Times New Roman" w:eastAsia="仿宋_GB2312" w:cs="Times New Roman"/>
          <w:sz w:val="32"/>
          <w:szCs w:val="32"/>
        </w:rPr>
        <w:t>副主任</w:t>
      </w:r>
    </w:p>
    <w:p w14:paraId="6A377436">
      <w:pPr>
        <w:keepNext w:val="0"/>
        <w:keepLines w:val="0"/>
        <w:pageBreakBefore w:val="0"/>
        <w:widowControl w:val="0"/>
        <w:tabs>
          <w:tab w:val="left" w:pos="4410"/>
        </w:tabs>
        <w:kinsoku/>
        <w:wordWrap/>
        <w:overflowPunct/>
        <w:topLinePunct w:val="0"/>
        <w:autoSpaceDE/>
        <w:autoSpaceDN/>
        <w:bidi w:val="0"/>
        <w:adjustRightInd/>
        <w:snapToGrid/>
        <w:spacing w:line="560" w:lineRule="exact"/>
        <w:ind w:firstLine="1920" w:firstLineChars="6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岳彩虹</w:t>
      </w:r>
      <w:r>
        <w:rPr>
          <w:rFonts w:hint="eastAsia" w:ascii="Times New Roman" w:hAnsi="Times New Roman" w:eastAsia="仿宋_GB2312" w:cs="Times New Roman"/>
          <w:sz w:val="32"/>
          <w:szCs w:val="32"/>
          <w:lang w:val="en-US" w:eastAsia="zh-CN"/>
        </w:rPr>
        <w:tab/>
      </w:r>
      <w:r>
        <w:rPr>
          <w:rFonts w:hint="default" w:ascii="Times New Roman" w:hAnsi="Times New Roman" w:eastAsia="仿宋_GB2312" w:cs="Times New Roman"/>
          <w:sz w:val="32"/>
          <w:szCs w:val="32"/>
          <w:lang w:val="en-US" w:eastAsia="zh-CN"/>
        </w:rPr>
        <w:t>旗</w:t>
      </w:r>
      <w:r>
        <w:rPr>
          <w:rFonts w:hint="eastAsia" w:ascii="Times New Roman" w:hAnsi="Times New Roman" w:eastAsia="仿宋_GB2312" w:cs="Times New Roman"/>
          <w:sz w:val="32"/>
          <w:szCs w:val="32"/>
          <w:lang w:eastAsia="zh-CN"/>
        </w:rPr>
        <w:t>卫健委</w:t>
      </w:r>
      <w:r>
        <w:rPr>
          <w:rFonts w:hint="default" w:ascii="Times New Roman" w:hAnsi="Times New Roman" w:eastAsia="仿宋_GB2312" w:cs="Times New Roman"/>
          <w:sz w:val="32"/>
          <w:szCs w:val="32"/>
        </w:rPr>
        <w:t>副主任</w:t>
      </w:r>
    </w:p>
    <w:p w14:paraId="76EB124C">
      <w:pPr>
        <w:keepNext w:val="0"/>
        <w:keepLines w:val="0"/>
        <w:pageBreakBefore w:val="0"/>
        <w:widowControl w:val="0"/>
        <w:tabs>
          <w:tab w:val="left" w:pos="4410"/>
        </w:tabs>
        <w:kinsoku/>
        <w:wordWrap/>
        <w:overflowPunct/>
        <w:topLinePunct w:val="0"/>
        <w:autoSpaceDE/>
        <w:autoSpaceDN/>
        <w:bidi w:val="0"/>
        <w:adjustRightInd/>
        <w:snapToGrid/>
        <w:spacing w:line="560" w:lineRule="exact"/>
        <w:ind w:firstLine="1920" w:firstLineChars="6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韩志伟</w:t>
      </w:r>
      <w:r>
        <w:rPr>
          <w:rFonts w:hint="eastAsia" w:ascii="Times New Roman" w:hAnsi="Times New Roman" w:eastAsia="仿宋_GB2312" w:cs="Times New Roman"/>
          <w:sz w:val="32"/>
          <w:szCs w:val="32"/>
          <w:lang w:val="en-US" w:eastAsia="zh-CN"/>
        </w:rPr>
        <w:tab/>
      </w:r>
      <w:r>
        <w:rPr>
          <w:rFonts w:hint="default" w:ascii="Times New Roman" w:hAnsi="Times New Roman" w:eastAsia="仿宋_GB2312" w:cs="Times New Roman"/>
          <w:sz w:val="32"/>
          <w:szCs w:val="32"/>
          <w:lang w:val="en-US" w:eastAsia="zh-CN"/>
        </w:rPr>
        <w:t>旗</w:t>
      </w:r>
      <w:r>
        <w:rPr>
          <w:rFonts w:hint="eastAsia" w:ascii="Times New Roman" w:hAnsi="Times New Roman" w:eastAsia="仿宋_GB2312" w:cs="Times New Roman"/>
          <w:sz w:val="32"/>
          <w:szCs w:val="32"/>
          <w:lang w:eastAsia="zh-CN"/>
        </w:rPr>
        <w:t>卫健委</w:t>
      </w:r>
      <w:r>
        <w:rPr>
          <w:rFonts w:hint="default" w:ascii="Times New Roman" w:hAnsi="Times New Roman" w:eastAsia="仿宋_GB2312" w:cs="Times New Roman"/>
          <w:sz w:val="32"/>
          <w:szCs w:val="32"/>
        </w:rPr>
        <w:t>副主任</w:t>
      </w:r>
    </w:p>
    <w:p w14:paraId="0B815CB3">
      <w:pPr>
        <w:keepNext w:val="0"/>
        <w:keepLines w:val="0"/>
        <w:pageBreakBefore w:val="0"/>
        <w:widowControl w:val="0"/>
        <w:tabs>
          <w:tab w:val="left" w:pos="4410"/>
        </w:tabs>
        <w:kinsoku/>
        <w:wordWrap/>
        <w:overflowPunct/>
        <w:topLinePunct w:val="0"/>
        <w:autoSpaceDE/>
        <w:autoSpaceDN/>
        <w:bidi w:val="0"/>
        <w:adjustRightInd/>
        <w:snapToGrid/>
        <w:spacing w:line="560" w:lineRule="exact"/>
        <w:ind w:firstLine="1920" w:firstLineChars="6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包亚胜</w:t>
      </w:r>
      <w:r>
        <w:rPr>
          <w:rFonts w:hint="eastAsia" w:ascii="Times New Roman" w:hAnsi="Times New Roman" w:eastAsia="仿宋_GB2312" w:cs="Times New Roman"/>
          <w:sz w:val="32"/>
          <w:szCs w:val="32"/>
          <w:lang w:val="en-US" w:eastAsia="zh-CN"/>
        </w:rPr>
        <w:tab/>
      </w:r>
      <w:r>
        <w:rPr>
          <w:rFonts w:hint="default" w:ascii="Times New Roman" w:hAnsi="Times New Roman" w:eastAsia="仿宋_GB2312" w:cs="Times New Roman"/>
          <w:sz w:val="32"/>
          <w:szCs w:val="32"/>
          <w:lang w:val="en-US" w:eastAsia="zh-CN"/>
        </w:rPr>
        <w:t>旗</w:t>
      </w:r>
      <w:r>
        <w:rPr>
          <w:rFonts w:hint="eastAsia" w:ascii="Times New Roman" w:hAnsi="Times New Roman" w:eastAsia="仿宋_GB2312" w:cs="Times New Roman"/>
          <w:sz w:val="32"/>
          <w:szCs w:val="32"/>
          <w:lang w:eastAsia="zh-CN"/>
        </w:rPr>
        <w:t>卫健委</w:t>
      </w:r>
      <w:r>
        <w:rPr>
          <w:rFonts w:hint="default" w:ascii="Times New Roman" w:hAnsi="Times New Roman" w:eastAsia="仿宋_GB2312" w:cs="Times New Roman"/>
          <w:sz w:val="32"/>
          <w:szCs w:val="32"/>
        </w:rPr>
        <w:t>副主任</w:t>
      </w:r>
    </w:p>
    <w:p w14:paraId="45F8519D">
      <w:pPr>
        <w:keepNext w:val="0"/>
        <w:keepLines w:val="0"/>
        <w:pageBreakBefore w:val="0"/>
        <w:widowControl w:val="0"/>
        <w:tabs>
          <w:tab w:val="left" w:pos="4410"/>
        </w:tabs>
        <w:kinsoku/>
        <w:wordWrap/>
        <w:overflowPunct/>
        <w:topLinePunct w:val="0"/>
        <w:autoSpaceDE/>
        <w:autoSpaceDN/>
        <w:bidi w:val="0"/>
        <w:adjustRightInd/>
        <w:snapToGrid/>
        <w:spacing w:line="560" w:lineRule="exact"/>
        <w:ind w:firstLine="1920" w:firstLineChars="6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高  燕</w:t>
      </w:r>
      <w:r>
        <w:rPr>
          <w:rFonts w:hint="eastAsia" w:ascii="Times New Roman" w:hAnsi="Times New Roman" w:eastAsia="仿宋_GB2312" w:cs="Times New Roman"/>
          <w:sz w:val="32"/>
          <w:szCs w:val="32"/>
          <w:lang w:val="en-US" w:eastAsia="zh-CN"/>
        </w:rPr>
        <w:tab/>
      </w:r>
      <w:r>
        <w:rPr>
          <w:rFonts w:hint="default" w:ascii="Times New Roman" w:hAnsi="Times New Roman" w:eastAsia="仿宋_GB2312" w:cs="Times New Roman"/>
          <w:sz w:val="32"/>
          <w:szCs w:val="32"/>
          <w:lang w:val="en-US" w:eastAsia="zh-CN"/>
        </w:rPr>
        <w:t>旗</w:t>
      </w:r>
      <w:r>
        <w:rPr>
          <w:rFonts w:hint="eastAsia" w:ascii="Times New Roman" w:hAnsi="Times New Roman" w:eastAsia="仿宋_GB2312" w:cs="Times New Roman"/>
          <w:sz w:val="32"/>
          <w:szCs w:val="32"/>
          <w:lang w:eastAsia="zh-CN"/>
        </w:rPr>
        <w:t>卫健委</w:t>
      </w:r>
      <w:r>
        <w:rPr>
          <w:rFonts w:hint="default" w:ascii="Times New Roman" w:hAnsi="Times New Roman" w:eastAsia="仿宋_GB2312" w:cs="Times New Roman"/>
          <w:sz w:val="32"/>
          <w:szCs w:val="32"/>
        </w:rPr>
        <w:t>副主任</w:t>
      </w:r>
    </w:p>
    <w:p w14:paraId="46883673">
      <w:pPr>
        <w:keepNext w:val="0"/>
        <w:keepLines w:val="0"/>
        <w:pageBreakBefore w:val="0"/>
        <w:widowControl w:val="0"/>
        <w:tabs>
          <w:tab w:val="left" w:pos="4410"/>
        </w:tab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成</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员</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格吉德玛</w:t>
      </w:r>
      <w:r>
        <w:rPr>
          <w:rFonts w:hint="eastAsia" w:ascii="Times New Roman" w:hAnsi="Times New Roman" w:eastAsia="仿宋_GB2312" w:cs="Times New Roman"/>
          <w:sz w:val="32"/>
          <w:szCs w:val="32"/>
          <w:lang w:val="en-US" w:eastAsia="zh-CN"/>
        </w:rPr>
        <w:tab/>
      </w:r>
      <w:r>
        <w:rPr>
          <w:rFonts w:hint="default" w:ascii="Times New Roman" w:hAnsi="Times New Roman" w:eastAsia="仿宋_GB2312" w:cs="Times New Roman"/>
          <w:sz w:val="32"/>
          <w:szCs w:val="32"/>
          <w:lang w:val="en-US" w:eastAsia="zh-CN"/>
        </w:rPr>
        <w:t>旗</w:t>
      </w:r>
      <w:r>
        <w:rPr>
          <w:rFonts w:hint="eastAsia" w:ascii="Times New Roman" w:hAnsi="Times New Roman" w:eastAsia="仿宋_GB2312" w:cs="Times New Roman"/>
          <w:sz w:val="32"/>
          <w:szCs w:val="32"/>
          <w:lang w:eastAsia="zh-CN"/>
        </w:rPr>
        <w:t>卫健委</w:t>
      </w:r>
      <w:r>
        <w:rPr>
          <w:rFonts w:hint="default" w:ascii="Times New Roman" w:hAnsi="Times New Roman" w:eastAsia="仿宋_GB2312" w:cs="Times New Roman"/>
          <w:sz w:val="32"/>
          <w:szCs w:val="32"/>
        </w:rPr>
        <w:t>基卫</w:t>
      </w:r>
      <w:r>
        <w:rPr>
          <w:rFonts w:hint="eastAsia" w:ascii="Times New Roman" w:hAnsi="Times New Roman" w:eastAsia="仿宋_GB2312" w:cs="Times New Roman"/>
          <w:sz w:val="32"/>
          <w:szCs w:val="32"/>
          <w:lang w:val="en-US" w:eastAsia="zh-CN"/>
        </w:rPr>
        <w:t>股股长</w:t>
      </w:r>
    </w:p>
    <w:p w14:paraId="0423EE90">
      <w:pPr>
        <w:keepNext w:val="0"/>
        <w:keepLines w:val="0"/>
        <w:pageBreakBefore w:val="0"/>
        <w:widowControl w:val="0"/>
        <w:tabs>
          <w:tab w:val="left" w:pos="4410"/>
        </w:tabs>
        <w:kinsoku/>
        <w:wordWrap/>
        <w:overflowPunct/>
        <w:topLinePunct w:val="0"/>
        <w:autoSpaceDE/>
        <w:autoSpaceDN/>
        <w:bidi w:val="0"/>
        <w:adjustRightInd/>
        <w:snapToGrid/>
        <w:spacing w:line="560" w:lineRule="exact"/>
        <w:ind w:firstLine="1920" w:firstLineChars="6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王美芳</w:t>
      </w:r>
      <w:r>
        <w:rPr>
          <w:rFonts w:hint="eastAsia" w:ascii="Times New Roman" w:hAnsi="Times New Roman" w:eastAsia="仿宋_GB2312" w:cs="Times New Roman"/>
          <w:sz w:val="32"/>
          <w:szCs w:val="32"/>
          <w:lang w:val="en-US" w:eastAsia="zh-CN"/>
        </w:rPr>
        <w:tab/>
      </w:r>
      <w:r>
        <w:rPr>
          <w:rFonts w:hint="default" w:ascii="Times New Roman" w:hAnsi="Times New Roman" w:eastAsia="仿宋_GB2312" w:cs="Times New Roman"/>
          <w:sz w:val="32"/>
          <w:szCs w:val="32"/>
          <w:lang w:val="en-US" w:eastAsia="zh-CN"/>
        </w:rPr>
        <w:t>旗</w:t>
      </w:r>
      <w:r>
        <w:rPr>
          <w:rFonts w:hint="eastAsia" w:ascii="Times New Roman" w:hAnsi="Times New Roman" w:eastAsia="仿宋_GB2312" w:cs="Times New Roman"/>
          <w:sz w:val="32"/>
          <w:szCs w:val="32"/>
          <w:lang w:eastAsia="zh-CN"/>
        </w:rPr>
        <w:t>卫健委</w:t>
      </w:r>
      <w:r>
        <w:rPr>
          <w:rFonts w:hint="default" w:ascii="Times New Roman" w:hAnsi="Times New Roman" w:eastAsia="仿宋_GB2312" w:cs="Times New Roman"/>
          <w:sz w:val="32"/>
          <w:szCs w:val="32"/>
        </w:rPr>
        <w:t>医政</w:t>
      </w:r>
      <w:r>
        <w:rPr>
          <w:rFonts w:hint="eastAsia" w:ascii="Times New Roman" w:hAnsi="Times New Roman" w:eastAsia="仿宋_GB2312" w:cs="Times New Roman"/>
          <w:sz w:val="32"/>
          <w:szCs w:val="32"/>
          <w:lang w:val="en-US" w:eastAsia="zh-CN"/>
        </w:rPr>
        <w:t>股股长</w:t>
      </w:r>
    </w:p>
    <w:p w14:paraId="2468DC54">
      <w:pPr>
        <w:keepNext w:val="0"/>
        <w:keepLines w:val="0"/>
        <w:pageBreakBefore w:val="0"/>
        <w:widowControl w:val="0"/>
        <w:tabs>
          <w:tab w:val="left" w:pos="4410"/>
        </w:tabs>
        <w:kinsoku/>
        <w:wordWrap/>
        <w:overflowPunct/>
        <w:topLinePunct w:val="0"/>
        <w:autoSpaceDE/>
        <w:autoSpaceDN/>
        <w:bidi w:val="0"/>
        <w:adjustRightInd/>
        <w:snapToGrid/>
        <w:spacing w:line="560" w:lineRule="exact"/>
        <w:ind w:firstLine="1920" w:firstLineChars="6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李士洁</w:t>
      </w:r>
      <w:r>
        <w:rPr>
          <w:rFonts w:hint="eastAsia" w:ascii="Times New Roman" w:hAnsi="Times New Roman" w:eastAsia="仿宋_GB2312" w:cs="Times New Roman"/>
          <w:sz w:val="32"/>
          <w:szCs w:val="32"/>
          <w:lang w:val="en-US" w:eastAsia="zh-CN"/>
        </w:rPr>
        <w:tab/>
      </w:r>
      <w:r>
        <w:rPr>
          <w:rFonts w:hint="default" w:ascii="Times New Roman" w:hAnsi="Times New Roman" w:eastAsia="仿宋_GB2312" w:cs="Times New Roman"/>
          <w:sz w:val="32"/>
          <w:szCs w:val="32"/>
          <w:lang w:val="en-US" w:eastAsia="zh-CN"/>
        </w:rPr>
        <w:t>旗</w:t>
      </w:r>
      <w:r>
        <w:rPr>
          <w:rFonts w:hint="eastAsia" w:ascii="Times New Roman" w:hAnsi="Times New Roman" w:eastAsia="仿宋_GB2312" w:cs="Times New Roman"/>
          <w:sz w:val="32"/>
          <w:szCs w:val="32"/>
          <w:lang w:eastAsia="zh-CN"/>
        </w:rPr>
        <w:t>卫健委</w:t>
      </w:r>
      <w:r>
        <w:rPr>
          <w:rFonts w:hint="default" w:ascii="Times New Roman" w:hAnsi="Times New Roman" w:eastAsia="仿宋_GB2312" w:cs="Times New Roman"/>
          <w:sz w:val="32"/>
          <w:szCs w:val="32"/>
        </w:rPr>
        <w:t>基卫</w:t>
      </w:r>
      <w:r>
        <w:rPr>
          <w:rFonts w:hint="eastAsia" w:ascii="Times New Roman" w:hAnsi="Times New Roman" w:eastAsia="仿宋_GB2312" w:cs="Times New Roman"/>
          <w:sz w:val="32"/>
          <w:szCs w:val="32"/>
          <w:lang w:val="en-US" w:eastAsia="zh-CN"/>
        </w:rPr>
        <w:t>股干事</w:t>
      </w:r>
    </w:p>
    <w:p w14:paraId="40CAC329">
      <w:pPr>
        <w:keepNext w:val="0"/>
        <w:keepLines w:val="0"/>
        <w:pageBreakBefore w:val="0"/>
        <w:widowControl w:val="0"/>
        <w:tabs>
          <w:tab w:val="left" w:pos="4410"/>
        </w:tab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联络员</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李士洁</w:t>
      </w:r>
      <w:r>
        <w:rPr>
          <w:rFonts w:hint="eastAsia" w:ascii="Times New Roman" w:hAnsi="Times New Roman" w:eastAsia="仿宋_GB2312" w:cs="Times New Roman"/>
          <w:sz w:val="32"/>
          <w:szCs w:val="32"/>
          <w:lang w:val="en-US" w:eastAsia="zh-CN"/>
        </w:rPr>
        <w:tab/>
      </w:r>
      <w:r>
        <w:rPr>
          <w:rFonts w:hint="default" w:ascii="Times New Roman" w:hAnsi="Times New Roman" w:eastAsia="仿宋_GB2312" w:cs="Times New Roman"/>
          <w:sz w:val="32"/>
          <w:szCs w:val="32"/>
          <w:lang w:val="en-US" w:eastAsia="zh-CN"/>
        </w:rPr>
        <w:t>旗</w:t>
      </w:r>
      <w:r>
        <w:rPr>
          <w:rFonts w:hint="eastAsia" w:ascii="Times New Roman" w:hAnsi="Times New Roman" w:eastAsia="仿宋_GB2312" w:cs="Times New Roman"/>
          <w:sz w:val="32"/>
          <w:szCs w:val="32"/>
          <w:lang w:eastAsia="zh-CN"/>
        </w:rPr>
        <w:t>卫健委</w:t>
      </w:r>
      <w:r>
        <w:rPr>
          <w:rFonts w:hint="default" w:ascii="Times New Roman" w:hAnsi="Times New Roman" w:eastAsia="仿宋_GB2312" w:cs="Times New Roman"/>
          <w:sz w:val="32"/>
          <w:szCs w:val="32"/>
        </w:rPr>
        <w:t>基卫</w:t>
      </w:r>
      <w:r>
        <w:rPr>
          <w:rFonts w:hint="eastAsia" w:ascii="Times New Roman" w:hAnsi="Times New Roman" w:eastAsia="仿宋_GB2312" w:cs="Times New Roman"/>
          <w:sz w:val="32"/>
          <w:szCs w:val="32"/>
          <w:lang w:val="en-US" w:eastAsia="zh-CN"/>
        </w:rPr>
        <w:t>股干事</w:t>
      </w:r>
    </w:p>
    <w:p w14:paraId="289EE2A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u w:val="none"/>
        </w:rPr>
      </w:pPr>
      <w:r>
        <w:rPr>
          <w:rFonts w:hint="default" w:ascii="Times New Roman" w:hAnsi="Times New Roman" w:eastAsia="仿宋_GB2312" w:cs="Times New Roman"/>
          <w:sz w:val="32"/>
          <w:szCs w:val="32"/>
          <w:u w:val="none"/>
        </w:rPr>
        <w:t xml:space="preserve">职 </w:t>
      </w:r>
      <w:r>
        <w:rPr>
          <w:rFonts w:hint="default" w:ascii="Times New Roman" w:hAnsi="Times New Roman" w:eastAsia="仿宋_GB2312" w:cs="Times New Roman"/>
          <w:sz w:val="32"/>
          <w:szCs w:val="32"/>
          <w:u w:val="none"/>
          <w:lang w:val="en-US" w:eastAsia="zh-CN"/>
        </w:rPr>
        <w:t xml:space="preserve"> </w:t>
      </w:r>
      <w:r>
        <w:rPr>
          <w:rFonts w:hint="default" w:ascii="Times New Roman" w:hAnsi="Times New Roman" w:eastAsia="仿宋_GB2312" w:cs="Times New Roman"/>
          <w:sz w:val="32"/>
          <w:szCs w:val="32"/>
          <w:u w:val="none"/>
        </w:rPr>
        <w:t>责</w:t>
      </w:r>
      <w:r>
        <w:rPr>
          <w:rFonts w:hint="default" w:ascii="Times New Roman" w:hAnsi="Times New Roman" w:eastAsia="仿宋_GB2312" w:cs="Times New Roman"/>
          <w:sz w:val="32"/>
          <w:szCs w:val="32"/>
          <w:u w:val="none"/>
          <w:lang w:eastAsia="zh-CN"/>
        </w:rPr>
        <w:t>：</w:t>
      </w:r>
      <w:r>
        <w:rPr>
          <w:rFonts w:hint="default" w:ascii="Times New Roman" w:hAnsi="Times New Roman" w:eastAsia="仿宋_GB2312" w:cs="Times New Roman"/>
          <w:sz w:val="32"/>
          <w:szCs w:val="32"/>
          <w:u w:val="none"/>
        </w:rPr>
        <w:t>负责组织推进公立医院</w:t>
      </w:r>
      <w:r>
        <w:rPr>
          <w:rFonts w:hint="default" w:ascii="Times New Roman" w:hAnsi="Times New Roman" w:eastAsia="仿宋_GB2312" w:cs="Times New Roman"/>
          <w:sz w:val="32"/>
          <w:szCs w:val="32"/>
          <w:u w:val="none"/>
          <w:lang w:val="en-US" w:eastAsia="zh-CN"/>
        </w:rPr>
        <w:t>改革与医疗服务</w:t>
      </w:r>
      <w:r>
        <w:rPr>
          <w:rFonts w:hint="default" w:ascii="Times New Roman" w:hAnsi="Times New Roman" w:eastAsia="仿宋_GB2312" w:cs="Times New Roman"/>
          <w:sz w:val="32"/>
          <w:szCs w:val="32"/>
          <w:u w:val="none"/>
        </w:rPr>
        <w:t>能力</w:t>
      </w:r>
      <w:r>
        <w:rPr>
          <w:rFonts w:hint="default" w:ascii="Times New Roman" w:hAnsi="Times New Roman" w:eastAsia="仿宋_GB2312" w:cs="Times New Roman"/>
          <w:sz w:val="32"/>
          <w:szCs w:val="32"/>
          <w:u w:val="none"/>
          <w:lang w:val="en-US" w:eastAsia="zh-CN"/>
        </w:rPr>
        <w:t>提升，改善</w:t>
      </w:r>
      <w:r>
        <w:rPr>
          <w:rFonts w:hint="default" w:ascii="Times New Roman" w:hAnsi="Times New Roman" w:eastAsia="仿宋_GB2312" w:cs="Times New Roman"/>
          <w:sz w:val="32"/>
          <w:szCs w:val="32"/>
          <w:u w:val="none"/>
        </w:rPr>
        <w:t>医疗服务质量</w:t>
      </w:r>
      <w:r>
        <w:rPr>
          <w:rFonts w:hint="default" w:ascii="Times New Roman" w:hAnsi="Times New Roman" w:eastAsia="仿宋_GB2312" w:cs="Times New Roman"/>
          <w:sz w:val="32"/>
          <w:szCs w:val="32"/>
          <w:u w:val="none"/>
          <w:lang w:eastAsia="zh-CN"/>
        </w:rPr>
        <w:t>；</w:t>
      </w:r>
      <w:r>
        <w:rPr>
          <w:rFonts w:hint="default" w:ascii="Times New Roman" w:hAnsi="Times New Roman" w:eastAsia="仿宋_GB2312" w:cs="Times New Roman"/>
          <w:sz w:val="32"/>
          <w:szCs w:val="32"/>
          <w:u w:val="none"/>
          <w:lang w:val="en-US" w:eastAsia="zh-CN"/>
        </w:rPr>
        <w:t>组织推进并指导医疗机构开展卫生健康信息化建设；</w:t>
      </w:r>
      <w:r>
        <w:rPr>
          <w:rFonts w:hint="default" w:ascii="Times New Roman" w:hAnsi="Times New Roman" w:eastAsia="仿宋_GB2312" w:cs="Times New Roman"/>
          <w:sz w:val="32"/>
          <w:szCs w:val="32"/>
          <w:u w:val="none"/>
        </w:rPr>
        <w:t>指导医疗机构开展专科建设项目，指导新技术、新项目落地实施以及科研成果转化工作</w:t>
      </w:r>
      <w:r>
        <w:rPr>
          <w:rFonts w:hint="default" w:ascii="Times New Roman" w:hAnsi="Times New Roman" w:eastAsia="仿宋_GB2312" w:cs="Times New Roman"/>
          <w:sz w:val="32"/>
          <w:szCs w:val="32"/>
          <w:u w:val="none"/>
          <w:lang w:eastAsia="zh-CN"/>
        </w:rPr>
        <w:t>；</w:t>
      </w:r>
      <w:r>
        <w:rPr>
          <w:rFonts w:hint="default" w:ascii="Times New Roman" w:hAnsi="Times New Roman" w:eastAsia="仿宋_GB2312" w:cs="Times New Roman"/>
          <w:sz w:val="32"/>
          <w:szCs w:val="32"/>
          <w:u w:val="none"/>
        </w:rPr>
        <w:t>协调指导</w:t>
      </w:r>
      <w:r>
        <w:rPr>
          <w:rFonts w:hint="default" w:ascii="Times New Roman" w:hAnsi="Times New Roman" w:eastAsia="仿宋_GB2312" w:cs="Times New Roman"/>
          <w:sz w:val="32"/>
          <w:szCs w:val="32"/>
          <w:u w:val="none"/>
          <w:lang w:val="en-US" w:eastAsia="zh-CN"/>
        </w:rPr>
        <w:t>完善紧密型县域医共体建设</w:t>
      </w:r>
      <w:r>
        <w:rPr>
          <w:rFonts w:hint="default" w:ascii="Times New Roman" w:hAnsi="Times New Roman" w:eastAsia="仿宋_GB2312" w:cs="Times New Roman"/>
          <w:sz w:val="32"/>
          <w:szCs w:val="32"/>
          <w:u w:val="none"/>
        </w:rPr>
        <w:t>。</w:t>
      </w:r>
    </w:p>
    <w:p w14:paraId="46F92E0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楷体_GB2312" w:cs="Times New Roman"/>
          <w:b/>
          <w:bCs/>
          <w:sz w:val="32"/>
          <w:szCs w:val="32"/>
          <w:lang w:eastAsia="zh-CN"/>
        </w:rPr>
      </w:pPr>
      <w:r>
        <w:rPr>
          <w:rFonts w:hint="default" w:ascii="Times New Roman" w:hAnsi="Times New Roman" w:eastAsia="楷体_GB2312" w:cs="Times New Roman"/>
          <w:b/>
          <w:bCs/>
          <w:sz w:val="32"/>
          <w:szCs w:val="32"/>
          <w:lang w:eastAsia="zh-CN"/>
        </w:rPr>
        <w:t>（二）医保改革工作专班</w:t>
      </w:r>
    </w:p>
    <w:p w14:paraId="2512C383">
      <w:pPr>
        <w:keepNext w:val="0"/>
        <w:keepLines w:val="0"/>
        <w:pageBreakBefore w:val="0"/>
        <w:widowControl w:val="0"/>
        <w:tabs>
          <w:tab w:val="left" w:pos="4410"/>
        </w:tab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u w:val="single"/>
        </w:rPr>
      </w:pPr>
      <w:r>
        <w:rPr>
          <w:rFonts w:hint="default" w:ascii="Times New Roman" w:hAnsi="Times New Roman" w:eastAsia="仿宋_GB2312" w:cs="Times New Roman"/>
          <w:sz w:val="32"/>
          <w:szCs w:val="32"/>
        </w:rPr>
        <w:t>组</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长</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u w:val="none"/>
          <w:lang w:val="en-US" w:eastAsia="zh-CN"/>
        </w:rPr>
        <w:t>格日乐图雅</w:t>
      </w:r>
      <w:r>
        <w:rPr>
          <w:rFonts w:hint="eastAsia" w:ascii="Times New Roman" w:hAnsi="Times New Roman" w:eastAsia="仿宋_GB2312" w:cs="Times New Roman"/>
          <w:sz w:val="32"/>
          <w:szCs w:val="32"/>
          <w:u w:val="none"/>
          <w:lang w:val="en-US" w:eastAsia="zh-CN"/>
        </w:rPr>
        <w:tab/>
      </w:r>
      <w:r>
        <w:rPr>
          <w:rFonts w:hint="default" w:ascii="Times New Roman" w:hAnsi="Times New Roman" w:eastAsia="仿宋_GB2312" w:cs="Times New Roman"/>
          <w:sz w:val="32"/>
          <w:szCs w:val="32"/>
          <w:u w:val="none"/>
          <w:lang w:val="en-US" w:eastAsia="zh-CN"/>
        </w:rPr>
        <w:t>旗</w:t>
      </w:r>
      <w:r>
        <w:rPr>
          <w:rFonts w:hint="default" w:ascii="Times New Roman" w:hAnsi="Times New Roman" w:eastAsia="仿宋_GB2312" w:cs="Times New Roman"/>
          <w:sz w:val="32"/>
          <w:szCs w:val="32"/>
          <w:u w:val="none"/>
        </w:rPr>
        <w:t>医保局局长</w:t>
      </w:r>
    </w:p>
    <w:p w14:paraId="6DE52FDB">
      <w:pPr>
        <w:keepNext w:val="0"/>
        <w:keepLines w:val="0"/>
        <w:pageBreakBefore w:val="0"/>
        <w:widowControl w:val="0"/>
        <w:tabs>
          <w:tab w:val="left" w:pos="4410"/>
        </w:tab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副组长</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孟青梅</w:t>
      </w:r>
      <w:r>
        <w:rPr>
          <w:rFonts w:hint="eastAsia" w:ascii="Times New Roman" w:hAnsi="Times New Roman" w:eastAsia="仿宋_GB2312" w:cs="Times New Roman"/>
          <w:sz w:val="32"/>
          <w:szCs w:val="32"/>
          <w:lang w:val="en-US" w:eastAsia="zh-CN"/>
        </w:rPr>
        <w:tab/>
      </w:r>
      <w:r>
        <w:rPr>
          <w:rFonts w:hint="default" w:ascii="Times New Roman" w:hAnsi="Times New Roman" w:eastAsia="仿宋_GB2312" w:cs="Times New Roman"/>
          <w:sz w:val="32"/>
          <w:szCs w:val="32"/>
          <w:lang w:val="en-US" w:eastAsia="zh-CN"/>
        </w:rPr>
        <w:t>旗</w:t>
      </w:r>
      <w:r>
        <w:rPr>
          <w:rFonts w:hint="default" w:ascii="Times New Roman" w:hAnsi="Times New Roman" w:eastAsia="仿宋_GB2312" w:cs="Times New Roman"/>
          <w:sz w:val="32"/>
          <w:szCs w:val="32"/>
        </w:rPr>
        <w:t>医保局副局长</w:t>
      </w:r>
    </w:p>
    <w:p w14:paraId="5B6C1657">
      <w:pPr>
        <w:tabs>
          <w:tab w:val="left" w:pos="4410"/>
        </w:tabs>
        <w:ind w:firstLine="1920" w:firstLineChars="6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乌兰娜</w:t>
      </w:r>
      <w:r>
        <w:rPr>
          <w:rFonts w:hint="eastAsia" w:ascii="Times New Roman" w:hAnsi="Times New Roman" w:eastAsia="仿宋_GB2312" w:cs="Times New Roman"/>
          <w:sz w:val="32"/>
          <w:szCs w:val="32"/>
          <w:lang w:val="en-US" w:eastAsia="zh-CN"/>
        </w:rPr>
        <w:tab/>
      </w:r>
      <w:r>
        <w:rPr>
          <w:rFonts w:hint="default" w:ascii="Times New Roman" w:hAnsi="Times New Roman" w:eastAsia="仿宋_GB2312" w:cs="Times New Roman"/>
          <w:sz w:val="32"/>
          <w:szCs w:val="32"/>
          <w:lang w:val="en-US" w:eastAsia="zh-CN"/>
        </w:rPr>
        <w:t>旗财政局副局长</w:t>
      </w:r>
    </w:p>
    <w:p w14:paraId="782B9FDC">
      <w:pPr>
        <w:tabs>
          <w:tab w:val="left" w:pos="4410"/>
        </w:tabs>
        <w:ind w:firstLine="1920" w:firstLineChars="600"/>
        <w:rPr>
          <w:rFonts w:hint="default" w:ascii="Times New Roman" w:hAnsi="Times New Roman" w:cs="Times New Roman"/>
        </w:rPr>
      </w:pPr>
      <w:r>
        <w:rPr>
          <w:rFonts w:hint="default" w:ascii="Times New Roman" w:hAnsi="Times New Roman" w:eastAsia="仿宋_GB2312" w:cs="Times New Roman"/>
          <w:sz w:val="32"/>
          <w:szCs w:val="32"/>
          <w:lang w:val="en-US" w:eastAsia="zh-CN"/>
        </w:rPr>
        <w:t>张  军</w:t>
      </w:r>
      <w:r>
        <w:rPr>
          <w:rFonts w:hint="eastAsia" w:ascii="Times New Roman" w:hAnsi="Times New Roman" w:eastAsia="仿宋_GB2312" w:cs="Times New Roman"/>
          <w:sz w:val="32"/>
          <w:szCs w:val="32"/>
          <w:lang w:val="en-US" w:eastAsia="zh-CN"/>
        </w:rPr>
        <w:tab/>
      </w:r>
      <w:r>
        <w:rPr>
          <w:rFonts w:hint="default" w:ascii="Times New Roman" w:hAnsi="Times New Roman" w:eastAsia="仿宋_GB2312" w:cs="Times New Roman"/>
          <w:sz w:val="32"/>
          <w:szCs w:val="32"/>
          <w:lang w:val="en-US" w:eastAsia="zh-CN"/>
        </w:rPr>
        <w:t>旗</w:t>
      </w:r>
      <w:r>
        <w:rPr>
          <w:rFonts w:hint="eastAsia" w:ascii="Times New Roman" w:hAnsi="Times New Roman" w:eastAsia="仿宋_GB2312" w:cs="Times New Roman"/>
          <w:sz w:val="32"/>
          <w:szCs w:val="32"/>
          <w:lang w:eastAsia="zh-CN"/>
        </w:rPr>
        <w:t>卫健委</w:t>
      </w:r>
      <w:r>
        <w:rPr>
          <w:rFonts w:hint="default" w:ascii="Times New Roman" w:hAnsi="Times New Roman" w:eastAsia="仿宋_GB2312" w:cs="Times New Roman"/>
          <w:sz w:val="32"/>
          <w:szCs w:val="32"/>
        </w:rPr>
        <w:t>副主任</w:t>
      </w:r>
    </w:p>
    <w:p w14:paraId="2E42DB50">
      <w:pPr>
        <w:keepNext w:val="0"/>
        <w:keepLines w:val="0"/>
        <w:pageBreakBefore w:val="0"/>
        <w:widowControl w:val="0"/>
        <w:tabs>
          <w:tab w:val="left" w:pos="4410"/>
        </w:tabs>
        <w:kinsoku/>
        <w:wordWrap/>
        <w:overflowPunct/>
        <w:topLinePunct w:val="0"/>
        <w:autoSpaceDE/>
        <w:autoSpaceDN/>
        <w:bidi w:val="0"/>
        <w:adjustRightInd/>
        <w:snapToGrid/>
        <w:spacing w:line="560" w:lineRule="exact"/>
        <w:ind w:firstLine="1920" w:firstLineChars="6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哈斯花</w:t>
      </w:r>
      <w:r>
        <w:rPr>
          <w:rFonts w:hint="eastAsia" w:ascii="Times New Roman" w:hAnsi="Times New Roman" w:eastAsia="仿宋_GB2312" w:cs="Times New Roman"/>
          <w:sz w:val="32"/>
          <w:szCs w:val="32"/>
          <w:lang w:val="en-US" w:eastAsia="zh-CN"/>
        </w:rPr>
        <w:tab/>
      </w:r>
      <w:r>
        <w:rPr>
          <w:rFonts w:hint="default" w:ascii="Times New Roman" w:hAnsi="Times New Roman" w:eastAsia="仿宋_GB2312" w:cs="Times New Roman"/>
          <w:sz w:val="32"/>
          <w:szCs w:val="32"/>
          <w:lang w:val="en-US" w:eastAsia="zh-CN"/>
        </w:rPr>
        <w:t>旗</w:t>
      </w:r>
      <w:r>
        <w:rPr>
          <w:rFonts w:hint="default" w:ascii="Times New Roman" w:hAnsi="Times New Roman" w:eastAsia="仿宋_GB2312" w:cs="Times New Roman"/>
          <w:sz w:val="32"/>
          <w:szCs w:val="32"/>
        </w:rPr>
        <w:t>市监局副局长</w:t>
      </w:r>
    </w:p>
    <w:p w14:paraId="7900DC04">
      <w:pPr>
        <w:keepNext w:val="0"/>
        <w:keepLines w:val="0"/>
        <w:pageBreakBefore w:val="0"/>
        <w:widowControl w:val="0"/>
        <w:tabs>
          <w:tab w:val="left" w:pos="4410"/>
        </w:tab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成</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员</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纳  青</w:t>
      </w:r>
      <w:r>
        <w:rPr>
          <w:rFonts w:hint="eastAsia" w:ascii="Times New Roman" w:hAnsi="Times New Roman" w:eastAsia="仿宋_GB2312" w:cs="Times New Roman"/>
          <w:sz w:val="32"/>
          <w:szCs w:val="32"/>
          <w:lang w:val="en-US" w:eastAsia="zh-CN"/>
        </w:rPr>
        <w:tab/>
      </w:r>
      <w:r>
        <w:rPr>
          <w:rFonts w:hint="default" w:ascii="Times New Roman" w:hAnsi="Times New Roman" w:eastAsia="仿宋_GB2312" w:cs="Times New Roman"/>
          <w:spacing w:val="-11"/>
          <w:sz w:val="32"/>
          <w:szCs w:val="32"/>
          <w:lang w:val="en-US" w:eastAsia="zh-CN"/>
        </w:rPr>
        <w:t>旗</w:t>
      </w:r>
      <w:r>
        <w:rPr>
          <w:rFonts w:hint="default" w:ascii="Times New Roman" w:hAnsi="Times New Roman" w:eastAsia="仿宋_GB2312" w:cs="Times New Roman"/>
          <w:spacing w:val="-11"/>
          <w:sz w:val="32"/>
          <w:szCs w:val="32"/>
        </w:rPr>
        <w:t>医保局</w:t>
      </w:r>
      <w:r>
        <w:rPr>
          <w:rFonts w:hint="default" w:ascii="Times New Roman" w:hAnsi="Times New Roman" w:eastAsia="仿宋_GB2312" w:cs="Times New Roman"/>
          <w:spacing w:val="-11"/>
          <w:sz w:val="32"/>
          <w:szCs w:val="32"/>
          <w:u w:val="none"/>
          <w:lang w:val="en-US" w:eastAsia="zh-CN"/>
        </w:rPr>
        <w:t>医药服务综合股股长</w:t>
      </w:r>
    </w:p>
    <w:p w14:paraId="1E0451FD">
      <w:pPr>
        <w:keepNext w:val="0"/>
        <w:keepLines w:val="0"/>
        <w:pageBreakBefore w:val="0"/>
        <w:widowControl w:val="0"/>
        <w:tabs>
          <w:tab w:val="left" w:pos="4410"/>
        </w:tabs>
        <w:kinsoku/>
        <w:wordWrap/>
        <w:overflowPunct/>
        <w:topLinePunct w:val="0"/>
        <w:autoSpaceDE/>
        <w:autoSpaceDN/>
        <w:bidi w:val="0"/>
        <w:adjustRightInd/>
        <w:snapToGrid/>
        <w:spacing w:line="560" w:lineRule="exact"/>
        <w:ind w:firstLine="1920" w:firstLineChars="6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苗  青</w:t>
      </w:r>
      <w:r>
        <w:rPr>
          <w:rFonts w:hint="eastAsia" w:ascii="Times New Roman" w:hAnsi="Times New Roman" w:eastAsia="仿宋_GB2312" w:cs="Times New Roman"/>
          <w:sz w:val="32"/>
          <w:szCs w:val="32"/>
          <w:lang w:val="en-US" w:eastAsia="zh-CN"/>
        </w:rPr>
        <w:tab/>
      </w:r>
      <w:r>
        <w:rPr>
          <w:rFonts w:hint="default" w:ascii="Times New Roman" w:hAnsi="Times New Roman" w:eastAsia="仿宋_GB2312" w:cs="Times New Roman"/>
          <w:sz w:val="32"/>
          <w:szCs w:val="32"/>
          <w:lang w:val="en-US" w:eastAsia="zh-CN"/>
        </w:rPr>
        <w:t>旗</w:t>
      </w:r>
      <w:r>
        <w:rPr>
          <w:rFonts w:hint="default" w:ascii="Times New Roman" w:hAnsi="Times New Roman" w:eastAsia="仿宋_GB2312" w:cs="Times New Roman"/>
          <w:sz w:val="32"/>
          <w:szCs w:val="32"/>
        </w:rPr>
        <w:t>财政局社会保障</w:t>
      </w:r>
      <w:r>
        <w:rPr>
          <w:rFonts w:hint="default" w:ascii="Times New Roman" w:hAnsi="Times New Roman" w:eastAsia="仿宋_GB2312" w:cs="Times New Roman"/>
          <w:sz w:val="32"/>
          <w:szCs w:val="32"/>
          <w:lang w:val="en-US" w:eastAsia="zh-CN"/>
        </w:rPr>
        <w:t>股股</w:t>
      </w:r>
      <w:r>
        <w:rPr>
          <w:rFonts w:hint="default" w:ascii="Times New Roman" w:hAnsi="Times New Roman" w:eastAsia="仿宋_GB2312" w:cs="Times New Roman"/>
          <w:sz w:val="32"/>
          <w:szCs w:val="32"/>
        </w:rPr>
        <w:t>长</w:t>
      </w:r>
    </w:p>
    <w:p w14:paraId="217D1D7C">
      <w:pPr>
        <w:keepNext w:val="0"/>
        <w:keepLines w:val="0"/>
        <w:pageBreakBefore w:val="0"/>
        <w:widowControl w:val="0"/>
        <w:tabs>
          <w:tab w:val="left" w:pos="4410"/>
        </w:tabs>
        <w:kinsoku/>
        <w:wordWrap/>
        <w:overflowPunct/>
        <w:topLinePunct w:val="0"/>
        <w:autoSpaceDE/>
        <w:autoSpaceDN/>
        <w:bidi w:val="0"/>
        <w:adjustRightInd/>
        <w:snapToGrid/>
        <w:spacing w:line="560" w:lineRule="exact"/>
        <w:ind w:firstLine="1920" w:firstLineChars="6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王美芳</w:t>
      </w:r>
      <w:r>
        <w:rPr>
          <w:rFonts w:hint="eastAsia" w:ascii="Times New Roman" w:hAnsi="Times New Roman" w:eastAsia="仿宋_GB2312" w:cs="Times New Roman"/>
          <w:sz w:val="32"/>
          <w:szCs w:val="32"/>
          <w:lang w:val="en-US" w:eastAsia="zh-CN"/>
        </w:rPr>
        <w:tab/>
      </w:r>
      <w:r>
        <w:rPr>
          <w:rFonts w:hint="default" w:ascii="Times New Roman" w:hAnsi="Times New Roman" w:eastAsia="仿宋_GB2312" w:cs="Times New Roman"/>
          <w:sz w:val="32"/>
          <w:szCs w:val="32"/>
          <w:lang w:val="en-US" w:eastAsia="zh-CN"/>
        </w:rPr>
        <w:t>旗</w:t>
      </w:r>
      <w:r>
        <w:rPr>
          <w:rFonts w:hint="eastAsia" w:ascii="Times New Roman" w:hAnsi="Times New Roman" w:eastAsia="仿宋_GB2312" w:cs="Times New Roman"/>
          <w:sz w:val="32"/>
          <w:szCs w:val="32"/>
          <w:lang w:eastAsia="zh-CN"/>
        </w:rPr>
        <w:t>卫健委</w:t>
      </w:r>
      <w:r>
        <w:rPr>
          <w:rFonts w:hint="default" w:ascii="Times New Roman" w:hAnsi="Times New Roman" w:eastAsia="仿宋_GB2312" w:cs="Times New Roman"/>
          <w:sz w:val="32"/>
          <w:szCs w:val="32"/>
        </w:rPr>
        <w:t>医政</w:t>
      </w:r>
      <w:r>
        <w:rPr>
          <w:rFonts w:hint="eastAsia" w:ascii="Times New Roman" w:hAnsi="Times New Roman" w:eastAsia="仿宋_GB2312" w:cs="Times New Roman"/>
          <w:sz w:val="32"/>
          <w:szCs w:val="32"/>
          <w:lang w:val="en-US" w:eastAsia="zh-CN"/>
        </w:rPr>
        <w:t>股股长</w:t>
      </w:r>
    </w:p>
    <w:p w14:paraId="62CBFE46">
      <w:pPr>
        <w:keepNext w:val="0"/>
        <w:keepLines w:val="0"/>
        <w:pageBreakBefore w:val="0"/>
        <w:widowControl w:val="0"/>
        <w:tabs>
          <w:tab w:val="left" w:pos="4410"/>
        </w:tabs>
        <w:kinsoku/>
        <w:wordWrap/>
        <w:overflowPunct/>
        <w:topLinePunct w:val="0"/>
        <w:autoSpaceDE/>
        <w:autoSpaceDN/>
        <w:bidi w:val="0"/>
        <w:adjustRightInd/>
        <w:snapToGrid/>
        <w:spacing w:line="560" w:lineRule="exact"/>
        <w:ind w:firstLine="1920" w:firstLineChars="6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格吉德玛</w:t>
      </w:r>
      <w:r>
        <w:rPr>
          <w:rFonts w:hint="eastAsia" w:ascii="Times New Roman" w:hAnsi="Times New Roman" w:eastAsia="仿宋_GB2312" w:cs="Times New Roman"/>
          <w:sz w:val="32"/>
          <w:szCs w:val="32"/>
          <w:lang w:val="en-US" w:eastAsia="zh-CN"/>
        </w:rPr>
        <w:tab/>
      </w:r>
      <w:r>
        <w:rPr>
          <w:rFonts w:hint="default" w:ascii="Times New Roman" w:hAnsi="Times New Roman" w:eastAsia="仿宋_GB2312" w:cs="Times New Roman"/>
          <w:sz w:val="32"/>
          <w:szCs w:val="32"/>
          <w:lang w:val="en-US" w:eastAsia="zh-CN"/>
        </w:rPr>
        <w:t>旗</w:t>
      </w:r>
      <w:r>
        <w:rPr>
          <w:rFonts w:hint="eastAsia" w:ascii="Times New Roman" w:hAnsi="Times New Roman" w:eastAsia="仿宋_GB2312" w:cs="Times New Roman"/>
          <w:sz w:val="32"/>
          <w:szCs w:val="32"/>
          <w:lang w:eastAsia="zh-CN"/>
        </w:rPr>
        <w:t>卫健委</w:t>
      </w:r>
      <w:r>
        <w:rPr>
          <w:rFonts w:hint="default" w:ascii="Times New Roman" w:hAnsi="Times New Roman" w:eastAsia="仿宋_GB2312" w:cs="Times New Roman"/>
          <w:sz w:val="32"/>
          <w:szCs w:val="32"/>
        </w:rPr>
        <w:t>基卫</w:t>
      </w:r>
      <w:r>
        <w:rPr>
          <w:rFonts w:hint="eastAsia" w:ascii="Times New Roman" w:hAnsi="Times New Roman" w:eastAsia="仿宋_GB2312" w:cs="Times New Roman"/>
          <w:sz w:val="32"/>
          <w:szCs w:val="32"/>
          <w:lang w:val="en-US" w:eastAsia="zh-CN"/>
        </w:rPr>
        <w:t>股股长</w:t>
      </w:r>
    </w:p>
    <w:p w14:paraId="289A4AE8">
      <w:pPr>
        <w:keepNext w:val="0"/>
        <w:keepLines w:val="0"/>
        <w:pageBreakBefore w:val="0"/>
        <w:widowControl w:val="0"/>
        <w:tabs>
          <w:tab w:val="left" w:pos="4410"/>
        </w:tabs>
        <w:kinsoku/>
        <w:wordWrap/>
        <w:overflowPunct/>
        <w:topLinePunct w:val="0"/>
        <w:autoSpaceDE/>
        <w:autoSpaceDN/>
        <w:bidi w:val="0"/>
        <w:adjustRightInd/>
        <w:snapToGrid/>
        <w:spacing w:line="560" w:lineRule="exact"/>
        <w:ind w:firstLine="1920" w:firstLineChars="6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郭艳丽</w:t>
      </w:r>
      <w:r>
        <w:rPr>
          <w:rFonts w:hint="eastAsia" w:ascii="Times New Roman" w:hAnsi="Times New Roman" w:eastAsia="仿宋_GB2312" w:cs="Times New Roman"/>
          <w:sz w:val="32"/>
          <w:szCs w:val="32"/>
          <w:lang w:val="en-US" w:eastAsia="zh-CN"/>
        </w:rPr>
        <w:tab/>
      </w:r>
      <w:r>
        <w:rPr>
          <w:rFonts w:hint="default" w:ascii="Times New Roman" w:hAnsi="Times New Roman" w:eastAsia="仿宋_GB2312" w:cs="Times New Roman"/>
          <w:sz w:val="32"/>
          <w:szCs w:val="32"/>
          <w:lang w:val="en-US" w:eastAsia="zh-CN"/>
        </w:rPr>
        <w:t>旗市监局药械监管股股长</w:t>
      </w:r>
    </w:p>
    <w:p w14:paraId="2C90F286">
      <w:pPr>
        <w:keepNext w:val="0"/>
        <w:keepLines w:val="0"/>
        <w:pageBreakBefore w:val="0"/>
        <w:widowControl w:val="0"/>
        <w:tabs>
          <w:tab w:val="left" w:pos="4410"/>
        </w:tab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联络员</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纳  青</w:t>
      </w:r>
      <w:r>
        <w:rPr>
          <w:rFonts w:hint="eastAsia" w:ascii="Times New Roman" w:hAnsi="Times New Roman" w:eastAsia="仿宋_GB2312" w:cs="Times New Roman"/>
          <w:sz w:val="32"/>
          <w:szCs w:val="32"/>
          <w:lang w:val="en-US" w:eastAsia="zh-CN"/>
        </w:rPr>
        <w:tab/>
      </w:r>
      <w:r>
        <w:rPr>
          <w:rFonts w:hint="default" w:ascii="Times New Roman" w:hAnsi="Times New Roman" w:eastAsia="仿宋_GB2312" w:cs="Times New Roman"/>
          <w:spacing w:val="-11"/>
          <w:sz w:val="32"/>
          <w:szCs w:val="32"/>
          <w:lang w:val="en-US" w:eastAsia="zh-CN"/>
        </w:rPr>
        <w:t>旗</w:t>
      </w:r>
      <w:r>
        <w:rPr>
          <w:rFonts w:hint="default" w:ascii="Times New Roman" w:hAnsi="Times New Roman" w:eastAsia="仿宋_GB2312" w:cs="Times New Roman"/>
          <w:spacing w:val="-11"/>
          <w:sz w:val="32"/>
          <w:szCs w:val="32"/>
        </w:rPr>
        <w:t>医保局</w:t>
      </w:r>
      <w:r>
        <w:rPr>
          <w:rFonts w:hint="default" w:ascii="Times New Roman" w:hAnsi="Times New Roman" w:eastAsia="仿宋_GB2312" w:cs="Times New Roman"/>
          <w:spacing w:val="-11"/>
          <w:sz w:val="32"/>
          <w:szCs w:val="32"/>
          <w:u w:val="none"/>
          <w:lang w:val="en-US" w:eastAsia="zh-CN"/>
        </w:rPr>
        <w:t>医药服务综合股股长</w:t>
      </w:r>
    </w:p>
    <w:p w14:paraId="750ECE8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u w:val="none"/>
        </w:rPr>
      </w:pPr>
      <w:r>
        <w:rPr>
          <w:rFonts w:hint="default" w:ascii="Times New Roman" w:hAnsi="Times New Roman" w:eastAsia="仿宋_GB2312" w:cs="Times New Roman"/>
          <w:sz w:val="32"/>
          <w:szCs w:val="32"/>
        </w:rPr>
        <w:t xml:space="preserve">职 </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责</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负责</w:t>
      </w:r>
      <w:r>
        <w:rPr>
          <w:rFonts w:hint="default" w:ascii="Times New Roman" w:hAnsi="Times New Roman" w:eastAsia="仿宋_GB2312" w:cs="Times New Roman"/>
          <w:sz w:val="32"/>
          <w:szCs w:val="32"/>
          <w:lang w:val="en-US" w:eastAsia="zh-CN"/>
        </w:rPr>
        <w:t>推进紧密型县域医共体医保基金总额付费；执行国家和省际药品耗材集中带量采购；建立常态化评估、科学化测算、合理化调整的医疗服务价格动态调整机制。</w:t>
      </w:r>
      <w:r>
        <w:rPr>
          <w:rFonts w:hint="default" w:ascii="Times New Roman" w:hAnsi="Times New Roman" w:eastAsia="仿宋_GB2312" w:cs="Times New Roman"/>
          <w:sz w:val="32"/>
          <w:szCs w:val="32"/>
        </w:rPr>
        <w:t>推动医保、卫生健康、市场等部门信息互联互通及医保信息化建设</w:t>
      </w:r>
      <w:r>
        <w:rPr>
          <w:rFonts w:hint="default" w:ascii="Times New Roman" w:hAnsi="Times New Roman" w:eastAsia="仿宋_GB2312" w:cs="Times New Roman"/>
          <w:sz w:val="32"/>
          <w:szCs w:val="32"/>
          <w:u w:val="none"/>
        </w:rPr>
        <w:t>。</w:t>
      </w:r>
    </w:p>
    <w:p w14:paraId="09003B6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楷体_GB2312" w:cs="Times New Roman"/>
          <w:b/>
          <w:bCs/>
          <w:sz w:val="32"/>
          <w:szCs w:val="32"/>
        </w:rPr>
      </w:pPr>
      <w:r>
        <w:rPr>
          <w:rFonts w:hint="default" w:ascii="Times New Roman" w:hAnsi="Times New Roman" w:eastAsia="楷体_GB2312" w:cs="Times New Roman"/>
          <w:b/>
          <w:bCs/>
          <w:sz w:val="32"/>
          <w:szCs w:val="32"/>
          <w:lang w:eastAsia="zh-CN"/>
        </w:rPr>
        <w:t>（三）</w:t>
      </w:r>
      <w:r>
        <w:rPr>
          <w:rFonts w:hint="default" w:ascii="Times New Roman" w:hAnsi="Times New Roman" w:eastAsia="楷体_GB2312" w:cs="Times New Roman"/>
          <w:b/>
          <w:bCs/>
          <w:sz w:val="32"/>
          <w:szCs w:val="32"/>
        </w:rPr>
        <w:t>资金保障及绩效评价工作专班</w:t>
      </w:r>
    </w:p>
    <w:p w14:paraId="29F7D861">
      <w:pPr>
        <w:keepNext w:val="0"/>
        <w:keepLines w:val="0"/>
        <w:pageBreakBefore w:val="0"/>
        <w:widowControl w:val="0"/>
        <w:tabs>
          <w:tab w:val="left" w:pos="4410"/>
        </w:tab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u w:val="none"/>
        </w:rPr>
      </w:pPr>
      <w:r>
        <w:rPr>
          <w:rFonts w:hint="default" w:ascii="Times New Roman" w:hAnsi="Times New Roman" w:eastAsia="仿宋_GB2312" w:cs="Times New Roman"/>
          <w:sz w:val="32"/>
          <w:szCs w:val="32"/>
          <w:u w:val="none"/>
        </w:rPr>
        <w:t>组</w:t>
      </w:r>
      <w:r>
        <w:rPr>
          <w:rFonts w:hint="default" w:ascii="Times New Roman" w:hAnsi="Times New Roman" w:eastAsia="仿宋_GB2312" w:cs="Times New Roman"/>
          <w:sz w:val="32"/>
          <w:szCs w:val="32"/>
          <w:u w:val="none"/>
          <w:lang w:val="en-US" w:eastAsia="zh-CN"/>
        </w:rPr>
        <w:t xml:space="preserve">  </w:t>
      </w:r>
      <w:r>
        <w:rPr>
          <w:rFonts w:hint="default" w:ascii="Times New Roman" w:hAnsi="Times New Roman" w:eastAsia="仿宋_GB2312" w:cs="Times New Roman"/>
          <w:sz w:val="32"/>
          <w:szCs w:val="32"/>
          <w:u w:val="none"/>
        </w:rPr>
        <w:t>长</w:t>
      </w:r>
      <w:r>
        <w:rPr>
          <w:rFonts w:hint="default" w:ascii="Times New Roman" w:hAnsi="Times New Roman" w:eastAsia="仿宋_GB2312" w:cs="Times New Roman"/>
          <w:sz w:val="32"/>
          <w:szCs w:val="32"/>
          <w:u w:val="none"/>
          <w:lang w:eastAsia="zh-CN"/>
        </w:rPr>
        <w:t>：</w:t>
      </w:r>
      <w:r>
        <w:rPr>
          <w:rFonts w:hint="default" w:ascii="Times New Roman" w:hAnsi="Times New Roman" w:eastAsia="仿宋_GB2312" w:cs="Times New Roman"/>
          <w:sz w:val="32"/>
          <w:szCs w:val="32"/>
          <w:u w:val="none"/>
          <w:lang w:val="en-US" w:eastAsia="zh-CN"/>
        </w:rPr>
        <w:t>王会杰</w:t>
      </w:r>
      <w:r>
        <w:rPr>
          <w:rFonts w:hint="eastAsia" w:ascii="Times New Roman" w:hAnsi="Times New Roman" w:eastAsia="仿宋_GB2312" w:cs="Times New Roman"/>
          <w:sz w:val="32"/>
          <w:szCs w:val="32"/>
          <w:u w:val="none"/>
          <w:lang w:val="en-US" w:eastAsia="zh-CN"/>
        </w:rPr>
        <w:tab/>
      </w:r>
      <w:r>
        <w:rPr>
          <w:rFonts w:hint="default" w:ascii="Times New Roman" w:hAnsi="Times New Roman" w:eastAsia="仿宋_GB2312" w:cs="Times New Roman"/>
          <w:sz w:val="32"/>
          <w:szCs w:val="32"/>
          <w:u w:val="none"/>
          <w:lang w:val="en-US" w:eastAsia="zh-CN"/>
        </w:rPr>
        <w:t>旗</w:t>
      </w:r>
      <w:r>
        <w:rPr>
          <w:rFonts w:hint="default" w:ascii="Times New Roman" w:hAnsi="Times New Roman" w:eastAsia="仿宋_GB2312" w:cs="Times New Roman"/>
          <w:sz w:val="32"/>
          <w:szCs w:val="32"/>
          <w:u w:val="none"/>
        </w:rPr>
        <w:t>财政局局长</w:t>
      </w:r>
    </w:p>
    <w:p w14:paraId="746FD8A1">
      <w:pPr>
        <w:keepNext w:val="0"/>
        <w:keepLines w:val="0"/>
        <w:pageBreakBefore w:val="0"/>
        <w:widowControl w:val="0"/>
        <w:tabs>
          <w:tab w:val="left" w:pos="4410"/>
        </w:tab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u w:val="none"/>
        </w:rPr>
      </w:pPr>
      <w:r>
        <w:rPr>
          <w:rFonts w:hint="default" w:ascii="Times New Roman" w:hAnsi="Times New Roman" w:eastAsia="仿宋_GB2312" w:cs="Times New Roman"/>
          <w:sz w:val="32"/>
          <w:szCs w:val="32"/>
        </w:rPr>
        <w:t>副组长</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u w:val="none"/>
          <w:lang w:val="en-US" w:eastAsia="zh-CN"/>
        </w:rPr>
        <w:t>乌兰娜</w:t>
      </w:r>
      <w:r>
        <w:rPr>
          <w:rFonts w:hint="eastAsia" w:ascii="Times New Roman" w:hAnsi="Times New Roman" w:eastAsia="仿宋_GB2312" w:cs="Times New Roman"/>
          <w:sz w:val="32"/>
          <w:szCs w:val="32"/>
          <w:u w:val="none"/>
          <w:lang w:val="en-US" w:eastAsia="zh-CN"/>
        </w:rPr>
        <w:tab/>
      </w:r>
      <w:r>
        <w:rPr>
          <w:rFonts w:hint="default" w:ascii="Times New Roman" w:hAnsi="Times New Roman" w:eastAsia="仿宋_GB2312" w:cs="Times New Roman"/>
          <w:sz w:val="32"/>
          <w:szCs w:val="32"/>
          <w:u w:val="none"/>
          <w:lang w:val="en-US" w:eastAsia="zh-CN"/>
        </w:rPr>
        <w:t>旗</w:t>
      </w:r>
      <w:r>
        <w:rPr>
          <w:rFonts w:hint="default" w:ascii="Times New Roman" w:hAnsi="Times New Roman" w:eastAsia="仿宋_GB2312" w:cs="Times New Roman"/>
          <w:sz w:val="32"/>
          <w:szCs w:val="32"/>
          <w:u w:val="none"/>
        </w:rPr>
        <w:t>财政局副局长</w:t>
      </w:r>
    </w:p>
    <w:p w14:paraId="4C690DA4">
      <w:pPr>
        <w:keepNext w:val="0"/>
        <w:keepLines w:val="0"/>
        <w:pageBreakBefore w:val="0"/>
        <w:widowControl w:val="0"/>
        <w:tabs>
          <w:tab w:val="left" w:pos="4410"/>
        </w:tabs>
        <w:kinsoku/>
        <w:wordWrap/>
        <w:overflowPunct/>
        <w:topLinePunct w:val="0"/>
        <w:autoSpaceDE/>
        <w:autoSpaceDN/>
        <w:bidi w:val="0"/>
        <w:adjustRightInd/>
        <w:snapToGrid/>
        <w:spacing w:line="560" w:lineRule="exact"/>
        <w:ind w:firstLine="1920" w:firstLineChars="600"/>
        <w:textAlignment w:val="auto"/>
        <w:rPr>
          <w:rFonts w:hint="default" w:ascii="Times New Roman" w:hAnsi="Times New Roman" w:eastAsia="仿宋_GB2312" w:cs="Times New Roman"/>
          <w:sz w:val="32"/>
          <w:szCs w:val="32"/>
          <w:u w:val="none"/>
          <w:lang w:val="en-US" w:eastAsia="zh-CN"/>
        </w:rPr>
      </w:pPr>
      <w:r>
        <w:rPr>
          <w:rFonts w:hint="default" w:ascii="Times New Roman" w:hAnsi="Times New Roman" w:eastAsia="仿宋_GB2312" w:cs="Times New Roman"/>
          <w:sz w:val="32"/>
          <w:szCs w:val="32"/>
          <w:u w:val="none"/>
          <w:lang w:val="en-US" w:eastAsia="zh-CN"/>
        </w:rPr>
        <w:t>孙瑞祥</w:t>
      </w:r>
      <w:r>
        <w:rPr>
          <w:rFonts w:hint="eastAsia" w:ascii="Times New Roman" w:hAnsi="Times New Roman" w:eastAsia="仿宋_GB2312" w:cs="Times New Roman"/>
          <w:sz w:val="32"/>
          <w:szCs w:val="32"/>
          <w:u w:val="none"/>
          <w:lang w:val="en-US" w:eastAsia="zh-CN"/>
        </w:rPr>
        <w:tab/>
      </w:r>
      <w:r>
        <w:rPr>
          <w:rFonts w:hint="default" w:ascii="Times New Roman" w:hAnsi="Times New Roman" w:eastAsia="仿宋_GB2312" w:cs="Times New Roman"/>
          <w:sz w:val="32"/>
          <w:szCs w:val="32"/>
          <w:u w:val="none"/>
          <w:lang w:val="en-US" w:eastAsia="zh-CN"/>
        </w:rPr>
        <w:t>旗发改委副主任</w:t>
      </w:r>
    </w:p>
    <w:p w14:paraId="542D3F64">
      <w:pPr>
        <w:keepNext w:val="0"/>
        <w:keepLines w:val="0"/>
        <w:pageBreakBefore w:val="0"/>
        <w:widowControl w:val="0"/>
        <w:tabs>
          <w:tab w:val="left" w:pos="4410"/>
        </w:tabs>
        <w:kinsoku/>
        <w:wordWrap/>
        <w:overflowPunct/>
        <w:topLinePunct w:val="0"/>
        <w:autoSpaceDE/>
        <w:autoSpaceDN/>
        <w:bidi w:val="0"/>
        <w:adjustRightInd/>
        <w:snapToGrid/>
        <w:spacing w:line="560" w:lineRule="exact"/>
        <w:ind w:firstLine="1920" w:firstLineChars="6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包亚胜</w:t>
      </w:r>
      <w:r>
        <w:rPr>
          <w:rFonts w:hint="eastAsia" w:ascii="Times New Roman" w:hAnsi="Times New Roman" w:eastAsia="仿宋_GB2312" w:cs="Times New Roman"/>
          <w:sz w:val="32"/>
          <w:szCs w:val="32"/>
          <w:lang w:val="en-US" w:eastAsia="zh-CN"/>
        </w:rPr>
        <w:tab/>
      </w:r>
      <w:r>
        <w:rPr>
          <w:rFonts w:hint="default" w:ascii="Times New Roman" w:hAnsi="Times New Roman" w:eastAsia="仿宋_GB2312" w:cs="Times New Roman"/>
          <w:sz w:val="32"/>
          <w:szCs w:val="32"/>
          <w:lang w:val="en-US" w:eastAsia="zh-CN"/>
        </w:rPr>
        <w:t>旗</w:t>
      </w:r>
      <w:r>
        <w:rPr>
          <w:rFonts w:hint="eastAsia" w:ascii="Times New Roman" w:hAnsi="Times New Roman" w:eastAsia="仿宋_GB2312" w:cs="Times New Roman"/>
          <w:sz w:val="32"/>
          <w:szCs w:val="32"/>
          <w:lang w:eastAsia="zh-CN"/>
        </w:rPr>
        <w:t>卫健委</w:t>
      </w:r>
      <w:r>
        <w:rPr>
          <w:rFonts w:hint="default" w:ascii="Times New Roman" w:hAnsi="Times New Roman" w:eastAsia="仿宋_GB2312" w:cs="Times New Roman"/>
          <w:sz w:val="32"/>
          <w:szCs w:val="32"/>
        </w:rPr>
        <w:t>副主任</w:t>
      </w:r>
    </w:p>
    <w:p w14:paraId="222BB0EC">
      <w:pPr>
        <w:keepNext w:val="0"/>
        <w:keepLines w:val="0"/>
        <w:pageBreakBefore w:val="0"/>
        <w:widowControl w:val="0"/>
        <w:tabs>
          <w:tab w:val="left" w:pos="4410"/>
        </w:tab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成</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员</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苗  青</w:t>
      </w:r>
      <w:r>
        <w:rPr>
          <w:rFonts w:hint="eastAsia" w:ascii="Times New Roman" w:hAnsi="Times New Roman" w:eastAsia="仿宋_GB2312" w:cs="Times New Roman"/>
          <w:sz w:val="32"/>
          <w:szCs w:val="32"/>
          <w:lang w:val="en-US" w:eastAsia="zh-CN"/>
        </w:rPr>
        <w:tab/>
      </w:r>
      <w:r>
        <w:rPr>
          <w:rFonts w:hint="default" w:ascii="Times New Roman" w:hAnsi="Times New Roman" w:eastAsia="仿宋_GB2312" w:cs="Times New Roman"/>
          <w:sz w:val="32"/>
          <w:szCs w:val="32"/>
          <w:lang w:val="en-US" w:eastAsia="zh-CN"/>
        </w:rPr>
        <w:t>旗</w:t>
      </w:r>
      <w:r>
        <w:rPr>
          <w:rFonts w:hint="default" w:ascii="Times New Roman" w:hAnsi="Times New Roman" w:eastAsia="仿宋_GB2312" w:cs="Times New Roman"/>
          <w:sz w:val="32"/>
          <w:szCs w:val="32"/>
        </w:rPr>
        <w:t>财政局社会保障</w:t>
      </w:r>
      <w:r>
        <w:rPr>
          <w:rFonts w:hint="default" w:ascii="Times New Roman" w:hAnsi="Times New Roman" w:eastAsia="仿宋_GB2312" w:cs="Times New Roman"/>
          <w:sz w:val="32"/>
          <w:szCs w:val="32"/>
          <w:lang w:val="en-US" w:eastAsia="zh-CN"/>
        </w:rPr>
        <w:t>股股</w:t>
      </w:r>
      <w:r>
        <w:rPr>
          <w:rFonts w:hint="default" w:ascii="Times New Roman" w:hAnsi="Times New Roman" w:eastAsia="仿宋_GB2312" w:cs="Times New Roman"/>
          <w:sz w:val="32"/>
          <w:szCs w:val="32"/>
        </w:rPr>
        <w:t>长</w:t>
      </w:r>
    </w:p>
    <w:p w14:paraId="41C491D0">
      <w:pPr>
        <w:keepNext w:val="0"/>
        <w:keepLines w:val="0"/>
        <w:pageBreakBefore w:val="0"/>
        <w:widowControl w:val="0"/>
        <w:tabs>
          <w:tab w:val="left" w:pos="4410"/>
        </w:tab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u w:val="none"/>
          <w:lang w:val="en-US" w:eastAsia="zh-CN"/>
        </w:rPr>
      </w:pPr>
      <w:r>
        <w:rPr>
          <w:rFonts w:hint="default" w:ascii="Times New Roman" w:hAnsi="Times New Roman" w:eastAsia="仿宋_GB2312" w:cs="Times New Roman"/>
          <w:sz w:val="32"/>
          <w:szCs w:val="32"/>
          <w:lang w:val="en-US" w:eastAsia="zh-CN"/>
        </w:rPr>
        <w:t xml:space="preserve">        塔  娜</w:t>
      </w:r>
      <w:r>
        <w:rPr>
          <w:rFonts w:hint="eastAsia" w:ascii="Times New Roman" w:hAnsi="Times New Roman" w:eastAsia="仿宋_GB2312" w:cs="Times New Roman"/>
          <w:sz w:val="32"/>
          <w:szCs w:val="32"/>
          <w:lang w:val="en-US" w:eastAsia="zh-CN"/>
        </w:rPr>
        <w:tab/>
      </w:r>
      <w:r>
        <w:rPr>
          <w:rFonts w:hint="default" w:ascii="Times New Roman" w:hAnsi="Times New Roman" w:eastAsia="仿宋_GB2312" w:cs="Times New Roman"/>
          <w:sz w:val="32"/>
          <w:szCs w:val="32"/>
          <w:lang w:val="en-US" w:eastAsia="zh-CN"/>
        </w:rPr>
        <w:t>旗发改委</w:t>
      </w:r>
      <w:r>
        <w:rPr>
          <w:rFonts w:hint="default" w:ascii="Times New Roman" w:hAnsi="Times New Roman" w:eastAsia="仿宋_GB2312" w:cs="Times New Roman"/>
          <w:sz w:val="32"/>
          <w:szCs w:val="32"/>
          <w:u w:val="none"/>
          <w:lang w:val="en-US" w:eastAsia="zh-CN"/>
        </w:rPr>
        <w:t>社会事业发展股</w:t>
      </w:r>
      <w:r>
        <w:rPr>
          <w:rFonts w:hint="eastAsia" w:ascii="Times New Roman" w:hAnsi="Times New Roman" w:eastAsia="仿宋_GB2312" w:cs="Times New Roman"/>
          <w:sz w:val="32"/>
          <w:szCs w:val="32"/>
          <w:u w:val="none"/>
          <w:lang w:val="en-US" w:eastAsia="zh-CN"/>
        </w:rPr>
        <w:t>长</w:t>
      </w:r>
    </w:p>
    <w:p w14:paraId="189BE159">
      <w:pPr>
        <w:keepNext w:val="0"/>
        <w:keepLines w:val="0"/>
        <w:pageBreakBefore w:val="0"/>
        <w:widowControl w:val="0"/>
        <w:tabs>
          <w:tab w:val="left" w:pos="4410"/>
        </w:tabs>
        <w:kinsoku/>
        <w:wordWrap/>
        <w:overflowPunct/>
        <w:topLinePunct w:val="0"/>
        <w:autoSpaceDE/>
        <w:autoSpaceDN/>
        <w:bidi w:val="0"/>
        <w:adjustRightInd/>
        <w:snapToGrid/>
        <w:spacing w:line="560" w:lineRule="exact"/>
        <w:ind w:firstLine="1920" w:firstLineChars="6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纪  媛</w:t>
      </w:r>
      <w:r>
        <w:rPr>
          <w:rFonts w:hint="eastAsia" w:ascii="Times New Roman" w:hAnsi="Times New Roman" w:eastAsia="仿宋_GB2312" w:cs="Times New Roman"/>
          <w:sz w:val="32"/>
          <w:szCs w:val="32"/>
          <w:lang w:val="en-US" w:eastAsia="zh-CN"/>
        </w:rPr>
        <w:tab/>
      </w:r>
      <w:r>
        <w:rPr>
          <w:rFonts w:hint="default" w:ascii="Times New Roman" w:hAnsi="Times New Roman" w:eastAsia="仿宋_GB2312" w:cs="Times New Roman"/>
          <w:sz w:val="32"/>
          <w:szCs w:val="32"/>
          <w:lang w:val="en-US" w:eastAsia="zh-CN"/>
        </w:rPr>
        <w:t>旗</w:t>
      </w:r>
      <w:r>
        <w:rPr>
          <w:rFonts w:hint="eastAsia" w:ascii="Times New Roman" w:hAnsi="Times New Roman" w:eastAsia="仿宋_GB2312" w:cs="Times New Roman"/>
          <w:sz w:val="32"/>
          <w:szCs w:val="32"/>
          <w:lang w:eastAsia="zh-CN"/>
        </w:rPr>
        <w:t>卫健委</w:t>
      </w:r>
      <w:r>
        <w:rPr>
          <w:rFonts w:hint="default" w:ascii="Times New Roman" w:hAnsi="Times New Roman" w:eastAsia="仿宋_GB2312" w:cs="Times New Roman"/>
          <w:sz w:val="32"/>
          <w:szCs w:val="32"/>
          <w:lang w:val="en-US" w:eastAsia="zh-CN"/>
        </w:rPr>
        <w:t>财务负责人</w:t>
      </w:r>
    </w:p>
    <w:p w14:paraId="66462CE2">
      <w:pPr>
        <w:keepNext w:val="0"/>
        <w:keepLines w:val="0"/>
        <w:pageBreakBefore w:val="0"/>
        <w:widowControl w:val="0"/>
        <w:tabs>
          <w:tab w:val="left" w:pos="4410"/>
        </w:tab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联络员</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纪  媛</w:t>
      </w:r>
      <w:r>
        <w:rPr>
          <w:rFonts w:hint="eastAsia" w:ascii="Times New Roman" w:hAnsi="Times New Roman" w:eastAsia="仿宋_GB2312" w:cs="Times New Roman"/>
          <w:sz w:val="32"/>
          <w:szCs w:val="32"/>
          <w:lang w:val="en-US" w:eastAsia="zh-CN"/>
        </w:rPr>
        <w:tab/>
      </w:r>
      <w:r>
        <w:rPr>
          <w:rFonts w:hint="default" w:ascii="Times New Roman" w:hAnsi="Times New Roman" w:eastAsia="仿宋_GB2312" w:cs="Times New Roman"/>
          <w:sz w:val="32"/>
          <w:szCs w:val="32"/>
          <w:lang w:val="en-US" w:eastAsia="zh-CN"/>
        </w:rPr>
        <w:t>旗</w:t>
      </w:r>
      <w:r>
        <w:rPr>
          <w:rFonts w:hint="eastAsia" w:ascii="Times New Roman" w:hAnsi="Times New Roman" w:eastAsia="仿宋_GB2312" w:cs="Times New Roman"/>
          <w:sz w:val="32"/>
          <w:szCs w:val="32"/>
          <w:lang w:eastAsia="zh-CN"/>
        </w:rPr>
        <w:t>卫健委</w:t>
      </w:r>
      <w:r>
        <w:rPr>
          <w:rFonts w:hint="default" w:ascii="Times New Roman" w:hAnsi="Times New Roman" w:eastAsia="仿宋_GB2312" w:cs="Times New Roman"/>
          <w:sz w:val="32"/>
          <w:szCs w:val="32"/>
          <w:lang w:val="en-US" w:eastAsia="zh-CN"/>
        </w:rPr>
        <w:t>财务负责人</w:t>
      </w:r>
    </w:p>
    <w:p w14:paraId="70A57E5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u w:val="single"/>
        </w:rPr>
      </w:pPr>
      <w:r>
        <w:rPr>
          <w:rFonts w:hint="default" w:ascii="Times New Roman" w:hAnsi="Times New Roman" w:eastAsia="仿宋_GB2312" w:cs="Times New Roman"/>
          <w:sz w:val="32"/>
          <w:szCs w:val="32"/>
          <w:u w:val="none"/>
        </w:rPr>
        <w:t xml:space="preserve">职 </w:t>
      </w:r>
      <w:r>
        <w:rPr>
          <w:rFonts w:hint="default" w:ascii="Times New Roman" w:hAnsi="Times New Roman" w:eastAsia="仿宋_GB2312" w:cs="Times New Roman"/>
          <w:sz w:val="32"/>
          <w:szCs w:val="32"/>
          <w:u w:val="none"/>
          <w:lang w:val="en-US" w:eastAsia="zh-CN"/>
        </w:rPr>
        <w:t xml:space="preserve"> </w:t>
      </w:r>
      <w:r>
        <w:rPr>
          <w:rFonts w:hint="default" w:ascii="Times New Roman" w:hAnsi="Times New Roman" w:eastAsia="仿宋_GB2312" w:cs="Times New Roman"/>
          <w:sz w:val="32"/>
          <w:szCs w:val="32"/>
          <w:u w:val="none"/>
        </w:rPr>
        <w:t>责</w:t>
      </w:r>
      <w:r>
        <w:rPr>
          <w:rFonts w:hint="default" w:ascii="Times New Roman" w:hAnsi="Times New Roman" w:eastAsia="仿宋_GB2312" w:cs="Times New Roman"/>
          <w:sz w:val="32"/>
          <w:szCs w:val="32"/>
          <w:u w:val="none"/>
          <w:lang w:eastAsia="zh-CN"/>
        </w:rPr>
        <w:t>：</w:t>
      </w:r>
      <w:r>
        <w:rPr>
          <w:rFonts w:hint="default" w:ascii="Times New Roman" w:hAnsi="Times New Roman" w:eastAsia="仿宋_GB2312" w:cs="Times New Roman"/>
          <w:sz w:val="32"/>
          <w:szCs w:val="32"/>
          <w:u w:val="none"/>
        </w:rPr>
        <w:t>负责建立健全项目资金绩效管理制度，制定项目资金管理办法、绩效目标和评价标准</w:t>
      </w:r>
      <w:r>
        <w:rPr>
          <w:rFonts w:hint="default" w:ascii="Times New Roman" w:hAnsi="Times New Roman" w:eastAsia="仿宋_GB2312" w:cs="Times New Roman"/>
          <w:sz w:val="32"/>
          <w:szCs w:val="32"/>
          <w:u w:val="none"/>
          <w:lang w:eastAsia="zh-CN"/>
        </w:rPr>
        <w:t>；</w:t>
      </w:r>
      <w:r>
        <w:rPr>
          <w:rFonts w:hint="default" w:ascii="Times New Roman" w:hAnsi="Times New Roman" w:eastAsia="仿宋_GB2312" w:cs="Times New Roman"/>
          <w:sz w:val="32"/>
          <w:szCs w:val="32"/>
          <w:u w:val="none"/>
        </w:rPr>
        <w:t>确保项目配套资金</w:t>
      </w:r>
      <w:r>
        <w:rPr>
          <w:rFonts w:hint="default" w:ascii="Times New Roman" w:hAnsi="Times New Roman" w:eastAsia="仿宋_GB2312" w:cs="Times New Roman"/>
          <w:sz w:val="32"/>
          <w:szCs w:val="32"/>
          <w:u w:val="none"/>
          <w:lang w:val="en-US" w:eastAsia="zh-CN"/>
        </w:rPr>
        <w:t>和医疗机构自筹资金</w:t>
      </w:r>
      <w:r>
        <w:rPr>
          <w:rFonts w:hint="default" w:ascii="Times New Roman" w:hAnsi="Times New Roman" w:eastAsia="仿宋_GB2312" w:cs="Times New Roman"/>
          <w:sz w:val="32"/>
          <w:szCs w:val="32"/>
          <w:u w:val="none"/>
        </w:rPr>
        <w:t>到位</w:t>
      </w:r>
      <w:r>
        <w:rPr>
          <w:rFonts w:hint="default" w:ascii="Times New Roman" w:hAnsi="Times New Roman" w:eastAsia="仿宋_GB2312" w:cs="Times New Roman"/>
          <w:sz w:val="32"/>
          <w:szCs w:val="32"/>
          <w:u w:val="none"/>
          <w:lang w:eastAsia="zh-CN"/>
        </w:rPr>
        <w:t>；制定并实施公立医院财政补助办法，健全卫生健康事业经费投入机制；争取以旧换新、强基工程等</w:t>
      </w:r>
      <w:r>
        <w:rPr>
          <w:rFonts w:hint="default" w:ascii="Times New Roman" w:hAnsi="Times New Roman" w:eastAsia="仿宋_GB2312" w:cs="Times New Roman"/>
          <w:sz w:val="32"/>
          <w:szCs w:val="32"/>
          <w:u w:val="none"/>
          <w:lang w:val="en-US" w:eastAsia="zh-CN"/>
        </w:rPr>
        <w:t>相关</w:t>
      </w:r>
      <w:r>
        <w:rPr>
          <w:rFonts w:hint="default" w:ascii="Times New Roman" w:hAnsi="Times New Roman" w:eastAsia="仿宋_GB2312" w:cs="Times New Roman"/>
          <w:sz w:val="32"/>
          <w:szCs w:val="32"/>
          <w:u w:val="none"/>
          <w:lang w:eastAsia="zh-CN"/>
        </w:rPr>
        <w:t>项目、资金，缓解公立医院运行压力；</w:t>
      </w:r>
      <w:r>
        <w:rPr>
          <w:rFonts w:hint="default" w:ascii="Times New Roman" w:hAnsi="Times New Roman" w:eastAsia="仿宋_GB2312" w:cs="Times New Roman"/>
          <w:sz w:val="32"/>
          <w:szCs w:val="32"/>
          <w:u w:val="none"/>
        </w:rPr>
        <w:t>组织项目各阶段绩效评价与成本效益分析，评估改革成效与医疗服务质量提升。</w:t>
      </w:r>
    </w:p>
    <w:p w14:paraId="55E597E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楷体_GB2312" w:cs="Times New Roman"/>
          <w:b/>
          <w:bCs/>
          <w:sz w:val="32"/>
          <w:szCs w:val="32"/>
          <w:lang w:eastAsia="zh-CN"/>
        </w:rPr>
      </w:pPr>
      <w:r>
        <w:rPr>
          <w:rFonts w:hint="default" w:ascii="Times New Roman" w:hAnsi="Times New Roman" w:eastAsia="楷体_GB2312" w:cs="Times New Roman"/>
          <w:b/>
          <w:bCs/>
          <w:sz w:val="32"/>
          <w:szCs w:val="32"/>
          <w:lang w:eastAsia="zh-CN"/>
        </w:rPr>
        <w:t>（四）</w:t>
      </w:r>
      <w:r>
        <w:rPr>
          <w:rFonts w:hint="default" w:ascii="Times New Roman" w:hAnsi="Times New Roman" w:eastAsia="楷体_GB2312" w:cs="Times New Roman"/>
          <w:b/>
          <w:bCs/>
          <w:sz w:val="32"/>
          <w:szCs w:val="32"/>
          <w:lang w:val="en-US" w:eastAsia="zh-CN"/>
        </w:rPr>
        <w:t>编制</w:t>
      </w:r>
      <w:r>
        <w:rPr>
          <w:rFonts w:hint="default" w:ascii="Times New Roman" w:hAnsi="Times New Roman" w:eastAsia="楷体_GB2312" w:cs="Times New Roman"/>
          <w:b/>
          <w:bCs/>
          <w:sz w:val="32"/>
          <w:szCs w:val="32"/>
          <w:lang w:eastAsia="zh-CN"/>
        </w:rPr>
        <w:t>人事薪酬改革</w:t>
      </w:r>
      <w:r>
        <w:rPr>
          <w:rFonts w:hint="default" w:ascii="Times New Roman" w:hAnsi="Times New Roman" w:eastAsia="楷体_GB2312" w:cs="Times New Roman"/>
          <w:b/>
          <w:bCs/>
          <w:sz w:val="32"/>
          <w:szCs w:val="32"/>
          <w:lang w:val="en-US" w:eastAsia="zh-CN"/>
        </w:rPr>
        <w:t>和人才队伍建设</w:t>
      </w:r>
      <w:r>
        <w:rPr>
          <w:rFonts w:hint="default" w:ascii="Times New Roman" w:hAnsi="Times New Roman" w:eastAsia="楷体_GB2312" w:cs="Times New Roman"/>
          <w:b/>
          <w:bCs/>
          <w:sz w:val="32"/>
          <w:szCs w:val="32"/>
          <w:lang w:eastAsia="zh-CN"/>
        </w:rPr>
        <w:t>工作专班</w:t>
      </w:r>
    </w:p>
    <w:p w14:paraId="057C28A4">
      <w:pPr>
        <w:tabs>
          <w:tab w:val="left" w:pos="4410"/>
        </w:tabs>
        <w:ind w:firstLine="640" w:firstLineChars="200"/>
        <w:rPr>
          <w:rFonts w:hint="default" w:ascii="Times New Roman" w:hAnsi="Times New Roman" w:cs="Times New Roman"/>
        </w:rPr>
      </w:pPr>
      <w:r>
        <w:rPr>
          <w:rFonts w:hint="default" w:ascii="Times New Roman" w:hAnsi="Times New Roman" w:eastAsia="仿宋_GB2312" w:cs="Times New Roman"/>
          <w:sz w:val="32"/>
          <w:szCs w:val="32"/>
        </w:rPr>
        <w:t>组</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长</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u w:val="none"/>
          <w:lang w:val="en-US" w:eastAsia="zh-CN"/>
        </w:rPr>
        <w:t>陈  斐</w:t>
      </w:r>
      <w:r>
        <w:rPr>
          <w:rFonts w:hint="eastAsia" w:ascii="Times New Roman" w:hAnsi="Times New Roman" w:eastAsia="仿宋_GB2312" w:cs="Times New Roman"/>
          <w:sz w:val="32"/>
          <w:szCs w:val="32"/>
          <w:u w:val="none"/>
          <w:lang w:val="en-US" w:eastAsia="zh-CN"/>
        </w:rPr>
        <w:tab/>
      </w:r>
      <w:r>
        <w:rPr>
          <w:rFonts w:hint="default" w:ascii="Times New Roman" w:hAnsi="Times New Roman" w:eastAsia="仿宋_GB2312" w:cs="Times New Roman"/>
          <w:sz w:val="32"/>
          <w:szCs w:val="32"/>
          <w:u w:val="none"/>
          <w:lang w:val="en-US" w:eastAsia="zh-CN"/>
        </w:rPr>
        <w:t>旗</w:t>
      </w:r>
      <w:r>
        <w:rPr>
          <w:rFonts w:hint="default" w:ascii="Times New Roman" w:hAnsi="Times New Roman" w:eastAsia="仿宋_GB2312" w:cs="Times New Roman"/>
          <w:sz w:val="32"/>
          <w:szCs w:val="32"/>
          <w:u w:val="none"/>
        </w:rPr>
        <w:t>委编办主任</w:t>
      </w:r>
    </w:p>
    <w:p w14:paraId="01238D30">
      <w:pPr>
        <w:keepNext w:val="0"/>
        <w:keepLines w:val="0"/>
        <w:pageBreakBefore w:val="0"/>
        <w:widowControl w:val="0"/>
        <w:tabs>
          <w:tab w:val="left" w:pos="4410"/>
        </w:tabs>
        <w:kinsoku/>
        <w:wordWrap/>
        <w:overflowPunct/>
        <w:topLinePunct w:val="0"/>
        <w:autoSpaceDE/>
        <w:autoSpaceDN/>
        <w:bidi w:val="0"/>
        <w:adjustRightInd/>
        <w:snapToGrid/>
        <w:spacing w:line="560" w:lineRule="exact"/>
        <w:ind w:firstLine="1920" w:firstLineChars="600"/>
        <w:textAlignment w:val="auto"/>
        <w:rPr>
          <w:rFonts w:hint="default" w:ascii="Times New Roman" w:hAnsi="Times New Roman" w:eastAsia="仿宋_GB2312" w:cs="Times New Roman"/>
          <w:sz w:val="32"/>
          <w:szCs w:val="32"/>
          <w:u w:val="none"/>
        </w:rPr>
      </w:pPr>
      <w:r>
        <w:rPr>
          <w:rFonts w:hint="default" w:ascii="Times New Roman" w:hAnsi="Times New Roman" w:eastAsia="仿宋_GB2312" w:cs="Times New Roman"/>
          <w:sz w:val="32"/>
          <w:szCs w:val="32"/>
          <w:u w:val="none"/>
          <w:lang w:val="en-US" w:eastAsia="zh-CN"/>
        </w:rPr>
        <w:t>敖日格乐</w:t>
      </w:r>
      <w:r>
        <w:rPr>
          <w:rFonts w:hint="eastAsia" w:ascii="Times New Roman" w:hAnsi="Times New Roman" w:eastAsia="仿宋_GB2312" w:cs="Times New Roman"/>
          <w:sz w:val="32"/>
          <w:szCs w:val="32"/>
          <w:u w:val="none"/>
          <w:lang w:val="en-US" w:eastAsia="zh-CN"/>
        </w:rPr>
        <w:tab/>
      </w:r>
      <w:r>
        <w:rPr>
          <w:rFonts w:hint="default" w:ascii="Times New Roman" w:hAnsi="Times New Roman" w:eastAsia="仿宋_GB2312" w:cs="Times New Roman"/>
          <w:sz w:val="32"/>
          <w:szCs w:val="32"/>
          <w:u w:val="none"/>
          <w:lang w:val="en-US" w:eastAsia="zh-CN"/>
        </w:rPr>
        <w:t>旗</w:t>
      </w:r>
      <w:r>
        <w:rPr>
          <w:rFonts w:hint="default" w:ascii="Times New Roman" w:hAnsi="Times New Roman" w:eastAsia="仿宋_GB2312" w:cs="Times New Roman"/>
          <w:sz w:val="32"/>
          <w:szCs w:val="32"/>
          <w:u w:val="none"/>
        </w:rPr>
        <w:t>人社局局长</w:t>
      </w:r>
    </w:p>
    <w:p w14:paraId="5DD4CB7A">
      <w:pPr>
        <w:keepNext w:val="0"/>
        <w:keepLines w:val="0"/>
        <w:pageBreakBefore w:val="0"/>
        <w:widowControl w:val="0"/>
        <w:tabs>
          <w:tab w:val="left" w:pos="4410"/>
        </w:tab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副组长</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白  娜</w:t>
      </w:r>
      <w:r>
        <w:rPr>
          <w:rFonts w:hint="eastAsia" w:ascii="Times New Roman" w:hAnsi="Times New Roman" w:eastAsia="仿宋_GB2312" w:cs="Times New Roman"/>
          <w:sz w:val="32"/>
          <w:szCs w:val="32"/>
          <w:lang w:val="en-US" w:eastAsia="zh-CN"/>
        </w:rPr>
        <w:tab/>
      </w:r>
      <w:r>
        <w:rPr>
          <w:rFonts w:hint="default" w:ascii="Times New Roman" w:hAnsi="Times New Roman" w:eastAsia="仿宋_GB2312" w:cs="Times New Roman"/>
          <w:sz w:val="32"/>
          <w:szCs w:val="32"/>
          <w:lang w:val="en-US" w:eastAsia="zh-CN"/>
        </w:rPr>
        <w:t>旗</w:t>
      </w:r>
      <w:r>
        <w:rPr>
          <w:rFonts w:hint="default" w:ascii="Times New Roman" w:hAnsi="Times New Roman" w:eastAsia="仿宋_GB2312" w:cs="Times New Roman"/>
          <w:sz w:val="32"/>
          <w:szCs w:val="32"/>
        </w:rPr>
        <w:t>委编办副主任</w:t>
      </w:r>
    </w:p>
    <w:p w14:paraId="1352185A">
      <w:pPr>
        <w:keepNext w:val="0"/>
        <w:keepLines w:val="0"/>
        <w:pageBreakBefore w:val="0"/>
        <w:widowControl w:val="0"/>
        <w:tabs>
          <w:tab w:val="left" w:pos="4410"/>
        </w:tabs>
        <w:kinsoku/>
        <w:wordWrap/>
        <w:overflowPunct/>
        <w:topLinePunct w:val="0"/>
        <w:autoSpaceDE/>
        <w:autoSpaceDN/>
        <w:bidi w:val="0"/>
        <w:adjustRightInd/>
        <w:snapToGrid/>
        <w:spacing w:line="560" w:lineRule="exact"/>
        <w:ind w:firstLine="1920" w:firstLineChars="6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李翠云</w:t>
      </w:r>
      <w:r>
        <w:rPr>
          <w:rFonts w:hint="eastAsia" w:ascii="Times New Roman" w:hAnsi="Times New Roman" w:eastAsia="仿宋_GB2312" w:cs="Times New Roman"/>
          <w:sz w:val="32"/>
          <w:szCs w:val="32"/>
          <w:lang w:val="en-US" w:eastAsia="zh-CN"/>
        </w:rPr>
        <w:tab/>
      </w:r>
      <w:r>
        <w:rPr>
          <w:rFonts w:hint="default" w:ascii="Times New Roman" w:hAnsi="Times New Roman" w:eastAsia="仿宋_GB2312" w:cs="Times New Roman"/>
          <w:sz w:val="32"/>
          <w:szCs w:val="32"/>
          <w:lang w:val="en-US" w:eastAsia="zh-CN"/>
        </w:rPr>
        <w:t>旗</w:t>
      </w:r>
      <w:r>
        <w:rPr>
          <w:rFonts w:hint="default" w:ascii="Times New Roman" w:hAnsi="Times New Roman" w:eastAsia="仿宋_GB2312" w:cs="Times New Roman"/>
          <w:sz w:val="32"/>
          <w:szCs w:val="32"/>
        </w:rPr>
        <w:t>人社局副局长</w:t>
      </w:r>
    </w:p>
    <w:p w14:paraId="66F77CBB">
      <w:pPr>
        <w:keepNext w:val="0"/>
        <w:keepLines w:val="0"/>
        <w:pageBreakBefore w:val="0"/>
        <w:widowControl w:val="0"/>
        <w:tabs>
          <w:tab w:val="left" w:pos="4410"/>
        </w:tabs>
        <w:kinsoku/>
        <w:wordWrap/>
        <w:overflowPunct/>
        <w:topLinePunct w:val="0"/>
        <w:autoSpaceDE/>
        <w:autoSpaceDN/>
        <w:bidi w:val="0"/>
        <w:adjustRightInd/>
        <w:snapToGrid/>
        <w:spacing w:line="560" w:lineRule="exact"/>
        <w:ind w:firstLine="1920" w:firstLineChars="6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乌兰娜</w:t>
      </w:r>
      <w:r>
        <w:rPr>
          <w:rFonts w:hint="eastAsia" w:ascii="Times New Roman" w:hAnsi="Times New Roman" w:eastAsia="仿宋_GB2312" w:cs="Times New Roman"/>
          <w:sz w:val="32"/>
          <w:szCs w:val="32"/>
          <w:lang w:val="en-US" w:eastAsia="zh-CN"/>
        </w:rPr>
        <w:tab/>
      </w:r>
      <w:r>
        <w:rPr>
          <w:rFonts w:hint="default" w:ascii="Times New Roman" w:hAnsi="Times New Roman" w:eastAsia="仿宋_GB2312" w:cs="Times New Roman"/>
          <w:sz w:val="32"/>
          <w:szCs w:val="32"/>
          <w:lang w:val="en-US" w:eastAsia="zh-CN"/>
        </w:rPr>
        <w:t>旗财政局副局长</w:t>
      </w:r>
    </w:p>
    <w:p w14:paraId="3DF71503">
      <w:pPr>
        <w:keepNext w:val="0"/>
        <w:keepLines w:val="0"/>
        <w:pageBreakBefore w:val="0"/>
        <w:widowControl w:val="0"/>
        <w:tabs>
          <w:tab w:val="left" w:pos="4410"/>
        </w:tabs>
        <w:kinsoku/>
        <w:wordWrap/>
        <w:overflowPunct/>
        <w:topLinePunct w:val="0"/>
        <w:autoSpaceDE/>
        <w:autoSpaceDN/>
        <w:bidi w:val="0"/>
        <w:adjustRightInd/>
        <w:snapToGrid/>
        <w:spacing w:line="560" w:lineRule="exact"/>
        <w:ind w:firstLine="1920" w:firstLineChars="6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张  军</w:t>
      </w:r>
      <w:r>
        <w:rPr>
          <w:rFonts w:hint="eastAsia" w:ascii="Times New Roman" w:hAnsi="Times New Roman" w:eastAsia="仿宋_GB2312" w:cs="Times New Roman"/>
          <w:sz w:val="32"/>
          <w:szCs w:val="32"/>
          <w:lang w:val="en-US" w:eastAsia="zh-CN"/>
        </w:rPr>
        <w:tab/>
      </w:r>
      <w:r>
        <w:rPr>
          <w:rFonts w:hint="default" w:ascii="Times New Roman" w:hAnsi="Times New Roman" w:eastAsia="仿宋_GB2312" w:cs="Times New Roman"/>
          <w:sz w:val="32"/>
          <w:szCs w:val="32"/>
          <w:lang w:val="en-US" w:eastAsia="zh-CN"/>
        </w:rPr>
        <w:t>旗</w:t>
      </w:r>
      <w:r>
        <w:rPr>
          <w:rFonts w:hint="eastAsia" w:ascii="Times New Roman" w:hAnsi="Times New Roman" w:eastAsia="仿宋_GB2312" w:cs="Times New Roman"/>
          <w:sz w:val="32"/>
          <w:szCs w:val="32"/>
          <w:lang w:eastAsia="zh-CN"/>
        </w:rPr>
        <w:t>卫健委</w:t>
      </w:r>
      <w:r>
        <w:rPr>
          <w:rFonts w:hint="default" w:ascii="Times New Roman" w:hAnsi="Times New Roman" w:eastAsia="仿宋_GB2312" w:cs="Times New Roman"/>
          <w:sz w:val="32"/>
          <w:szCs w:val="32"/>
        </w:rPr>
        <w:t>副主任</w:t>
      </w:r>
    </w:p>
    <w:p w14:paraId="6EB979A2">
      <w:pPr>
        <w:keepNext w:val="0"/>
        <w:keepLines w:val="0"/>
        <w:pageBreakBefore w:val="0"/>
        <w:widowControl w:val="0"/>
        <w:tabs>
          <w:tab w:val="left" w:pos="4410"/>
        </w:tab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rPr>
      </w:pPr>
      <w:r>
        <w:rPr>
          <w:rFonts w:hint="default" w:ascii="Times New Roman" w:hAnsi="Times New Roman" w:eastAsia="仿宋_GB2312" w:cs="Times New Roman"/>
          <w:sz w:val="32"/>
          <w:szCs w:val="32"/>
        </w:rPr>
        <w:t>成</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员</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祁业冬</w:t>
      </w:r>
      <w:r>
        <w:rPr>
          <w:rFonts w:hint="eastAsia" w:ascii="Times New Roman" w:hAnsi="Times New Roman" w:eastAsia="仿宋_GB2312" w:cs="Times New Roman"/>
          <w:sz w:val="32"/>
          <w:szCs w:val="32"/>
          <w:lang w:val="en-US" w:eastAsia="zh-CN"/>
        </w:rPr>
        <w:tab/>
      </w:r>
      <w:r>
        <w:rPr>
          <w:rFonts w:hint="default" w:ascii="Times New Roman" w:hAnsi="Times New Roman" w:eastAsia="仿宋_GB2312" w:cs="Times New Roman"/>
          <w:sz w:val="32"/>
          <w:szCs w:val="32"/>
          <w:lang w:val="en-US" w:eastAsia="zh-CN"/>
        </w:rPr>
        <w:t>旗</w:t>
      </w:r>
      <w:r>
        <w:rPr>
          <w:rFonts w:hint="default" w:ascii="Times New Roman" w:hAnsi="Times New Roman" w:eastAsia="仿宋_GB2312" w:cs="Times New Roman"/>
          <w:sz w:val="32"/>
          <w:szCs w:val="32"/>
        </w:rPr>
        <w:t>委编办</w:t>
      </w:r>
      <w:r>
        <w:rPr>
          <w:rFonts w:hint="default" w:ascii="Times New Roman" w:hAnsi="Times New Roman" w:eastAsia="仿宋_GB2312" w:cs="Times New Roman"/>
          <w:sz w:val="32"/>
          <w:szCs w:val="32"/>
          <w:u w:val="none"/>
          <w:lang w:val="en-US" w:eastAsia="zh-CN"/>
        </w:rPr>
        <w:t>二室主任</w:t>
      </w:r>
    </w:p>
    <w:p w14:paraId="65ABFD6F">
      <w:pPr>
        <w:keepNext w:val="0"/>
        <w:keepLines w:val="0"/>
        <w:pageBreakBefore w:val="0"/>
        <w:widowControl w:val="0"/>
        <w:tabs>
          <w:tab w:val="left" w:pos="4410"/>
        </w:tabs>
        <w:kinsoku/>
        <w:wordWrap/>
        <w:overflowPunct/>
        <w:topLinePunct w:val="0"/>
        <w:autoSpaceDE/>
        <w:autoSpaceDN/>
        <w:bidi w:val="0"/>
        <w:adjustRightInd/>
        <w:snapToGrid/>
        <w:spacing w:line="560" w:lineRule="exact"/>
        <w:ind w:firstLine="1920" w:firstLineChars="6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包  明</w:t>
      </w:r>
      <w:r>
        <w:rPr>
          <w:rFonts w:hint="eastAsia" w:ascii="Times New Roman" w:hAnsi="Times New Roman" w:eastAsia="仿宋_GB2312" w:cs="Times New Roman"/>
          <w:sz w:val="32"/>
          <w:szCs w:val="32"/>
          <w:lang w:val="en-US" w:eastAsia="zh-CN"/>
        </w:rPr>
        <w:tab/>
      </w:r>
      <w:r>
        <w:rPr>
          <w:rFonts w:hint="default" w:ascii="Times New Roman" w:hAnsi="Times New Roman" w:eastAsia="仿宋_GB2312" w:cs="Times New Roman"/>
          <w:spacing w:val="0"/>
          <w:sz w:val="32"/>
          <w:szCs w:val="32"/>
          <w:lang w:val="en-US" w:eastAsia="zh-CN"/>
        </w:rPr>
        <w:t>旗</w:t>
      </w:r>
      <w:r>
        <w:rPr>
          <w:rFonts w:hint="default" w:ascii="Times New Roman" w:hAnsi="Times New Roman" w:eastAsia="仿宋_GB2312" w:cs="Times New Roman"/>
          <w:spacing w:val="0"/>
          <w:sz w:val="32"/>
          <w:szCs w:val="32"/>
        </w:rPr>
        <w:t>人社局</w:t>
      </w:r>
      <w:r>
        <w:rPr>
          <w:rFonts w:hint="default" w:ascii="Times New Roman" w:hAnsi="Times New Roman" w:eastAsia="仿宋_GB2312" w:cs="Times New Roman"/>
          <w:spacing w:val="0"/>
          <w:sz w:val="32"/>
          <w:szCs w:val="32"/>
          <w:u w:val="none"/>
          <w:lang w:val="en-US" w:eastAsia="zh-CN"/>
        </w:rPr>
        <w:t>事业人事管理股</w:t>
      </w:r>
      <w:r>
        <w:rPr>
          <w:rFonts w:hint="default" w:ascii="Times New Roman" w:hAnsi="Times New Roman" w:eastAsia="仿宋_GB2312" w:cs="Times New Roman"/>
          <w:spacing w:val="0"/>
          <w:sz w:val="32"/>
          <w:szCs w:val="32"/>
          <w:lang w:val="en-US" w:eastAsia="zh-CN"/>
        </w:rPr>
        <w:t>股</w:t>
      </w:r>
      <w:r>
        <w:rPr>
          <w:rFonts w:hint="default" w:ascii="Times New Roman" w:hAnsi="Times New Roman" w:eastAsia="仿宋_GB2312" w:cs="Times New Roman"/>
          <w:spacing w:val="0"/>
          <w:sz w:val="32"/>
          <w:szCs w:val="32"/>
        </w:rPr>
        <w:t>长</w:t>
      </w:r>
    </w:p>
    <w:p w14:paraId="68E08F27">
      <w:pPr>
        <w:keepNext w:val="0"/>
        <w:keepLines w:val="0"/>
        <w:pageBreakBefore w:val="0"/>
        <w:widowControl w:val="0"/>
        <w:tabs>
          <w:tab w:val="left" w:pos="4410"/>
        </w:tabs>
        <w:kinsoku/>
        <w:wordWrap/>
        <w:overflowPunct/>
        <w:topLinePunct w:val="0"/>
        <w:autoSpaceDE/>
        <w:autoSpaceDN/>
        <w:bidi w:val="0"/>
        <w:adjustRightInd/>
        <w:snapToGrid/>
        <w:spacing w:line="560" w:lineRule="exact"/>
        <w:ind w:firstLine="1920" w:firstLineChars="6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苗  青</w:t>
      </w:r>
      <w:r>
        <w:rPr>
          <w:rFonts w:hint="eastAsia" w:ascii="Times New Roman" w:hAnsi="Times New Roman" w:eastAsia="仿宋_GB2312" w:cs="Times New Roman"/>
          <w:sz w:val="32"/>
          <w:szCs w:val="32"/>
          <w:lang w:val="en-US" w:eastAsia="zh-CN"/>
        </w:rPr>
        <w:tab/>
      </w:r>
      <w:r>
        <w:rPr>
          <w:rFonts w:hint="default" w:ascii="Times New Roman" w:hAnsi="Times New Roman" w:eastAsia="仿宋_GB2312" w:cs="Times New Roman"/>
          <w:sz w:val="32"/>
          <w:szCs w:val="32"/>
          <w:lang w:val="en-US" w:eastAsia="zh-CN"/>
        </w:rPr>
        <w:t>旗</w:t>
      </w:r>
      <w:r>
        <w:rPr>
          <w:rFonts w:hint="default" w:ascii="Times New Roman" w:hAnsi="Times New Roman" w:eastAsia="仿宋_GB2312" w:cs="Times New Roman"/>
          <w:sz w:val="32"/>
          <w:szCs w:val="32"/>
        </w:rPr>
        <w:t>财政局社会保障</w:t>
      </w:r>
      <w:r>
        <w:rPr>
          <w:rFonts w:hint="default" w:ascii="Times New Roman" w:hAnsi="Times New Roman" w:eastAsia="仿宋_GB2312" w:cs="Times New Roman"/>
          <w:sz w:val="32"/>
          <w:szCs w:val="32"/>
          <w:lang w:val="en-US" w:eastAsia="zh-CN"/>
        </w:rPr>
        <w:t>股股</w:t>
      </w:r>
      <w:r>
        <w:rPr>
          <w:rFonts w:hint="default" w:ascii="Times New Roman" w:hAnsi="Times New Roman" w:eastAsia="仿宋_GB2312" w:cs="Times New Roman"/>
          <w:sz w:val="32"/>
          <w:szCs w:val="32"/>
        </w:rPr>
        <w:t>长</w:t>
      </w:r>
    </w:p>
    <w:p w14:paraId="7E8CC697">
      <w:pPr>
        <w:keepNext w:val="0"/>
        <w:keepLines w:val="0"/>
        <w:pageBreakBefore w:val="0"/>
        <w:widowControl w:val="0"/>
        <w:tabs>
          <w:tab w:val="left" w:pos="4410"/>
        </w:tabs>
        <w:kinsoku/>
        <w:wordWrap/>
        <w:overflowPunct/>
        <w:topLinePunct w:val="0"/>
        <w:autoSpaceDE/>
        <w:autoSpaceDN/>
        <w:bidi w:val="0"/>
        <w:adjustRightInd/>
        <w:snapToGrid/>
        <w:spacing w:line="560" w:lineRule="exact"/>
        <w:ind w:firstLine="1920" w:firstLineChars="6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格吉德玛</w:t>
      </w:r>
      <w:r>
        <w:rPr>
          <w:rFonts w:hint="eastAsia" w:ascii="Times New Roman" w:hAnsi="Times New Roman" w:eastAsia="仿宋_GB2312" w:cs="Times New Roman"/>
          <w:sz w:val="32"/>
          <w:szCs w:val="32"/>
          <w:lang w:val="en-US" w:eastAsia="zh-CN"/>
        </w:rPr>
        <w:tab/>
      </w:r>
      <w:r>
        <w:rPr>
          <w:rFonts w:hint="default" w:ascii="Times New Roman" w:hAnsi="Times New Roman" w:eastAsia="仿宋_GB2312" w:cs="Times New Roman"/>
          <w:sz w:val="32"/>
          <w:szCs w:val="32"/>
          <w:lang w:val="en-US" w:eastAsia="zh-CN"/>
        </w:rPr>
        <w:t>旗</w:t>
      </w:r>
      <w:r>
        <w:rPr>
          <w:rFonts w:hint="eastAsia" w:ascii="Times New Roman" w:hAnsi="Times New Roman" w:eastAsia="仿宋_GB2312" w:cs="Times New Roman"/>
          <w:sz w:val="32"/>
          <w:szCs w:val="32"/>
          <w:lang w:eastAsia="zh-CN"/>
        </w:rPr>
        <w:t>卫健委</w:t>
      </w:r>
      <w:r>
        <w:rPr>
          <w:rFonts w:hint="default" w:ascii="Times New Roman" w:hAnsi="Times New Roman" w:eastAsia="仿宋_GB2312" w:cs="Times New Roman"/>
          <w:sz w:val="32"/>
          <w:szCs w:val="32"/>
        </w:rPr>
        <w:t>基卫</w:t>
      </w:r>
      <w:r>
        <w:rPr>
          <w:rFonts w:hint="eastAsia" w:ascii="Times New Roman" w:hAnsi="Times New Roman" w:eastAsia="仿宋_GB2312" w:cs="Times New Roman"/>
          <w:sz w:val="32"/>
          <w:szCs w:val="32"/>
          <w:lang w:val="en-US" w:eastAsia="zh-CN"/>
        </w:rPr>
        <w:t>股股长</w:t>
      </w:r>
    </w:p>
    <w:p w14:paraId="0673478B">
      <w:pPr>
        <w:keepNext w:val="0"/>
        <w:keepLines w:val="0"/>
        <w:pageBreakBefore w:val="0"/>
        <w:widowControl w:val="0"/>
        <w:tabs>
          <w:tab w:val="left" w:pos="4410"/>
        </w:tabs>
        <w:kinsoku/>
        <w:wordWrap/>
        <w:overflowPunct/>
        <w:topLinePunct w:val="0"/>
        <w:autoSpaceDE/>
        <w:autoSpaceDN/>
        <w:bidi w:val="0"/>
        <w:adjustRightInd/>
        <w:snapToGrid/>
        <w:spacing w:line="560" w:lineRule="exact"/>
        <w:ind w:firstLine="1920" w:firstLineChars="6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王美芳</w:t>
      </w:r>
      <w:r>
        <w:rPr>
          <w:rFonts w:hint="eastAsia" w:ascii="Times New Roman" w:hAnsi="Times New Roman" w:eastAsia="仿宋_GB2312" w:cs="Times New Roman"/>
          <w:sz w:val="32"/>
          <w:szCs w:val="32"/>
          <w:lang w:val="en-US" w:eastAsia="zh-CN"/>
        </w:rPr>
        <w:tab/>
      </w:r>
      <w:r>
        <w:rPr>
          <w:rFonts w:hint="default" w:ascii="Times New Roman" w:hAnsi="Times New Roman" w:eastAsia="仿宋_GB2312" w:cs="Times New Roman"/>
          <w:sz w:val="32"/>
          <w:szCs w:val="32"/>
          <w:lang w:val="en-US" w:eastAsia="zh-CN"/>
        </w:rPr>
        <w:t>旗</w:t>
      </w:r>
      <w:r>
        <w:rPr>
          <w:rFonts w:hint="eastAsia" w:ascii="Times New Roman" w:hAnsi="Times New Roman" w:eastAsia="仿宋_GB2312" w:cs="Times New Roman"/>
          <w:sz w:val="32"/>
          <w:szCs w:val="32"/>
          <w:lang w:eastAsia="zh-CN"/>
        </w:rPr>
        <w:t>卫健委</w:t>
      </w:r>
      <w:r>
        <w:rPr>
          <w:rFonts w:hint="default" w:ascii="Times New Roman" w:hAnsi="Times New Roman" w:eastAsia="仿宋_GB2312" w:cs="Times New Roman"/>
          <w:sz w:val="32"/>
          <w:szCs w:val="32"/>
        </w:rPr>
        <w:t>医政</w:t>
      </w:r>
      <w:r>
        <w:rPr>
          <w:rFonts w:hint="eastAsia" w:ascii="Times New Roman" w:hAnsi="Times New Roman" w:eastAsia="仿宋_GB2312" w:cs="Times New Roman"/>
          <w:sz w:val="32"/>
          <w:szCs w:val="32"/>
          <w:lang w:val="en-US" w:eastAsia="zh-CN"/>
        </w:rPr>
        <w:t>股股长</w:t>
      </w:r>
    </w:p>
    <w:p w14:paraId="7379988F">
      <w:pPr>
        <w:keepNext w:val="0"/>
        <w:keepLines w:val="0"/>
        <w:pageBreakBefore w:val="0"/>
        <w:widowControl w:val="0"/>
        <w:tabs>
          <w:tab w:val="left" w:pos="4410"/>
        </w:tabs>
        <w:kinsoku/>
        <w:wordWrap/>
        <w:overflowPunct/>
        <w:topLinePunct w:val="0"/>
        <w:autoSpaceDE/>
        <w:autoSpaceDN/>
        <w:bidi w:val="0"/>
        <w:adjustRightInd/>
        <w:snapToGrid/>
        <w:spacing w:line="560" w:lineRule="exact"/>
        <w:ind w:firstLine="1920" w:firstLineChars="6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马瑜英</w:t>
      </w:r>
      <w:r>
        <w:rPr>
          <w:rFonts w:hint="eastAsia" w:ascii="Times New Roman" w:hAnsi="Times New Roman" w:eastAsia="仿宋_GB2312" w:cs="Times New Roman"/>
          <w:sz w:val="32"/>
          <w:szCs w:val="32"/>
          <w:lang w:val="en-US" w:eastAsia="zh-CN"/>
        </w:rPr>
        <w:tab/>
      </w:r>
      <w:r>
        <w:rPr>
          <w:rFonts w:hint="default" w:ascii="Times New Roman" w:hAnsi="Times New Roman" w:eastAsia="仿宋_GB2312" w:cs="Times New Roman"/>
          <w:sz w:val="32"/>
          <w:szCs w:val="32"/>
          <w:lang w:val="en-US" w:eastAsia="zh-CN"/>
        </w:rPr>
        <w:t>旗</w:t>
      </w:r>
      <w:r>
        <w:rPr>
          <w:rFonts w:hint="eastAsia" w:ascii="Times New Roman" w:hAnsi="Times New Roman" w:eastAsia="仿宋_GB2312" w:cs="Times New Roman"/>
          <w:sz w:val="32"/>
          <w:szCs w:val="32"/>
          <w:lang w:eastAsia="zh-CN"/>
        </w:rPr>
        <w:t>卫健委</w:t>
      </w:r>
      <w:r>
        <w:rPr>
          <w:rFonts w:hint="default" w:ascii="Times New Roman" w:hAnsi="Times New Roman" w:eastAsia="仿宋_GB2312" w:cs="Times New Roman"/>
          <w:sz w:val="32"/>
          <w:szCs w:val="32"/>
        </w:rPr>
        <w:t>医政</w:t>
      </w:r>
      <w:r>
        <w:rPr>
          <w:rFonts w:hint="eastAsia" w:ascii="Times New Roman" w:hAnsi="Times New Roman" w:eastAsia="仿宋_GB2312" w:cs="Times New Roman"/>
          <w:sz w:val="32"/>
          <w:szCs w:val="32"/>
          <w:lang w:val="en-US" w:eastAsia="zh-CN"/>
        </w:rPr>
        <w:t>股</w:t>
      </w:r>
      <w:r>
        <w:rPr>
          <w:rFonts w:hint="default" w:ascii="Times New Roman" w:hAnsi="Times New Roman" w:eastAsia="仿宋_GB2312" w:cs="Times New Roman"/>
          <w:sz w:val="32"/>
          <w:szCs w:val="32"/>
          <w:lang w:val="en-US" w:eastAsia="zh-CN"/>
        </w:rPr>
        <w:t>干事</w:t>
      </w:r>
    </w:p>
    <w:p w14:paraId="651B445F">
      <w:pPr>
        <w:keepNext w:val="0"/>
        <w:keepLines w:val="0"/>
        <w:pageBreakBefore w:val="0"/>
        <w:widowControl w:val="0"/>
        <w:tabs>
          <w:tab w:val="left" w:pos="4410"/>
        </w:tab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联络员</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马瑜英</w:t>
      </w:r>
      <w:r>
        <w:rPr>
          <w:rFonts w:hint="eastAsia" w:ascii="Times New Roman" w:hAnsi="Times New Roman" w:eastAsia="仿宋_GB2312" w:cs="Times New Roman"/>
          <w:sz w:val="32"/>
          <w:szCs w:val="32"/>
          <w:lang w:val="en-US" w:eastAsia="zh-CN"/>
        </w:rPr>
        <w:tab/>
      </w:r>
      <w:r>
        <w:rPr>
          <w:rFonts w:hint="default" w:ascii="Times New Roman" w:hAnsi="Times New Roman" w:eastAsia="仿宋_GB2312" w:cs="Times New Roman"/>
          <w:sz w:val="32"/>
          <w:szCs w:val="32"/>
          <w:lang w:val="en-US" w:eastAsia="zh-CN"/>
        </w:rPr>
        <w:t>旗</w:t>
      </w:r>
      <w:r>
        <w:rPr>
          <w:rFonts w:hint="eastAsia" w:ascii="Times New Roman" w:hAnsi="Times New Roman" w:eastAsia="仿宋_GB2312" w:cs="Times New Roman"/>
          <w:sz w:val="32"/>
          <w:szCs w:val="32"/>
          <w:lang w:eastAsia="zh-CN"/>
        </w:rPr>
        <w:t>卫健委</w:t>
      </w:r>
      <w:r>
        <w:rPr>
          <w:rFonts w:hint="default" w:ascii="Times New Roman" w:hAnsi="Times New Roman" w:eastAsia="仿宋_GB2312" w:cs="Times New Roman"/>
          <w:sz w:val="32"/>
          <w:szCs w:val="32"/>
        </w:rPr>
        <w:t>医政</w:t>
      </w:r>
      <w:r>
        <w:rPr>
          <w:rFonts w:hint="eastAsia" w:ascii="Times New Roman" w:hAnsi="Times New Roman" w:eastAsia="仿宋_GB2312" w:cs="Times New Roman"/>
          <w:sz w:val="32"/>
          <w:szCs w:val="32"/>
          <w:lang w:val="en-US" w:eastAsia="zh-CN"/>
        </w:rPr>
        <w:t>股</w:t>
      </w:r>
      <w:r>
        <w:rPr>
          <w:rFonts w:hint="default" w:ascii="Times New Roman" w:hAnsi="Times New Roman" w:eastAsia="仿宋_GB2312" w:cs="Times New Roman"/>
          <w:sz w:val="32"/>
          <w:szCs w:val="32"/>
          <w:lang w:val="en-US" w:eastAsia="zh-CN"/>
        </w:rPr>
        <w:t>干事</w:t>
      </w:r>
    </w:p>
    <w:p w14:paraId="1B857ED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sz w:val="32"/>
          <w:szCs w:val="32"/>
          <w:highlight w:val="none"/>
        </w:rPr>
        <w:t xml:space="preserve">职 </w:t>
      </w:r>
      <w:r>
        <w:rPr>
          <w:rFonts w:hint="default" w:ascii="Times New Roman" w:hAnsi="Times New Roman" w:eastAsia="仿宋_GB2312" w:cs="Times New Roman"/>
          <w:sz w:val="32"/>
          <w:szCs w:val="32"/>
          <w:highlight w:val="none"/>
          <w:lang w:val="en-US" w:eastAsia="zh-CN"/>
        </w:rPr>
        <w:t xml:space="preserve"> </w:t>
      </w:r>
      <w:r>
        <w:rPr>
          <w:rFonts w:hint="default" w:ascii="Times New Roman" w:hAnsi="Times New Roman" w:eastAsia="仿宋_GB2312" w:cs="Times New Roman"/>
          <w:sz w:val="32"/>
          <w:szCs w:val="32"/>
          <w:highlight w:val="none"/>
        </w:rPr>
        <w:t>责</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负责组织实施卫生健康人才队伍建设</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推行</w:t>
      </w:r>
      <w:r>
        <w:rPr>
          <w:rFonts w:hint="default" w:ascii="Times New Roman" w:hAnsi="Times New Roman" w:eastAsia="仿宋_GB2312" w:cs="Times New Roman"/>
          <w:b w:val="0"/>
          <w:bCs w:val="0"/>
          <w:color w:val="auto"/>
          <w:sz w:val="32"/>
          <w:szCs w:val="32"/>
          <w:highlight w:val="none"/>
          <w:lang w:val="en-US" w:eastAsia="zh-CN"/>
        </w:rPr>
        <w:t>公立医院人员总量管理，建立编制动态调整机制；</w:t>
      </w:r>
      <w:r>
        <w:rPr>
          <w:rFonts w:hint="default" w:ascii="Times New Roman" w:hAnsi="Times New Roman" w:eastAsia="仿宋_GB2312" w:cs="Times New Roman"/>
          <w:sz w:val="32"/>
          <w:szCs w:val="32"/>
          <w:highlight w:val="none"/>
        </w:rPr>
        <w:t>落实国家及自治区人才引进管理政策，</w:t>
      </w:r>
      <w:r>
        <w:rPr>
          <w:rFonts w:hint="default" w:ascii="Times New Roman" w:hAnsi="Times New Roman" w:eastAsia="仿宋_GB2312" w:cs="Times New Roman"/>
          <w:sz w:val="32"/>
          <w:szCs w:val="32"/>
          <w:highlight w:val="none"/>
          <w:lang w:val="en-US" w:eastAsia="zh-CN"/>
        </w:rPr>
        <w:t>立足公立医院发展实际，精准引进卫生系统高层次急需紧缺人才</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b w:val="0"/>
          <w:bCs w:val="0"/>
          <w:color w:val="auto"/>
          <w:sz w:val="32"/>
          <w:szCs w:val="32"/>
          <w:highlight w:val="none"/>
          <w:lang w:val="en-US" w:eastAsia="zh-CN"/>
        </w:rPr>
        <w:t>落实“两个允许”和“三个结构性调整”，提高医务人员固定收入占比，构建体现岗位职责与技术劳动价值的薪酬体系。</w:t>
      </w:r>
    </w:p>
    <w:p w14:paraId="69674A5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二、工作要求</w:t>
      </w:r>
    </w:p>
    <w:p w14:paraId="51150EB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b/>
          <w:bCs/>
          <w:sz w:val="32"/>
          <w:szCs w:val="32"/>
          <w:lang w:eastAsia="zh-CN"/>
        </w:rPr>
        <w:t>（一）压实工作责任。</w:t>
      </w:r>
      <w:r>
        <w:rPr>
          <w:rFonts w:hint="default" w:ascii="Times New Roman" w:hAnsi="Times New Roman" w:eastAsia="仿宋_GB2312" w:cs="Times New Roman"/>
          <w:sz w:val="32"/>
          <w:szCs w:val="32"/>
        </w:rPr>
        <w:t>推进机制办公室每年至少向</w:t>
      </w:r>
      <w:r>
        <w:rPr>
          <w:rFonts w:hint="default" w:ascii="Times New Roman" w:hAnsi="Times New Roman" w:eastAsia="仿宋_GB2312" w:cs="Times New Roman"/>
          <w:sz w:val="32"/>
          <w:szCs w:val="32"/>
          <w:lang w:val="en-US" w:eastAsia="zh-CN"/>
        </w:rPr>
        <w:t>旗政府</w:t>
      </w:r>
      <w:r>
        <w:rPr>
          <w:rFonts w:hint="default" w:ascii="Times New Roman" w:hAnsi="Times New Roman" w:eastAsia="仿宋_GB2312" w:cs="Times New Roman"/>
          <w:sz w:val="32"/>
          <w:szCs w:val="32"/>
        </w:rPr>
        <w:t>专题汇报1次</w:t>
      </w:r>
      <w:r>
        <w:rPr>
          <w:rFonts w:hint="default" w:ascii="Times New Roman" w:hAnsi="Times New Roman" w:eastAsia="仿宋_GB2312" w:cs="Times New Roman"/>
          <w:sz w:val="32"/>
          <w:szCs w:val="32"/>
          <w:lang w:eastAsia="zh-CN"/>
        </w:rPr>
        <w:t>提升项目</w:t>
      </w:r>
      <w:r>
        <w:rPr>
          <w:rFonts w:hint="default" w:ascii="Times New Roman" w:hAnsi="Times New Roman" w:eastAsia="仿宋_GB2312" w:cs="Times New Roman"/>
          <w:sz w:val="32"/>
          <w:szCs w:val="32"/>
        </w:rPr>
        <w:t>工作进展，统筹决策部署全局性改革任务。建立专题会商，每双月召开1次推进机制办公室主任会议，会商研判跨部门改革事项，联动推进政策衔接，研究解决改革推进过程中难点堵点问题，形成政策叠加效应。</w:t>
      </w:r>
    </w:p>
    <w:p w14:paraId="78493EA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b/>
          <w:bCs/>
          <w:sz w:val="32"/>
          <w:szCs w:val="32"/>
          <w:lang w:eastAsia="zh-CN"/>
        </w:rPr>
        <w:t>（二）强化工作调度。</w:t>
      </w:r>
      <w:r>
        <w:rPr>
          <w:rFonts w:hint="default" w:ascii="Times New Roman" w:hAnsi="Times New Roman" w:eastAsia="仿宋_GB2312" w:cs="Times New Roman"/>
          <w:sz w:val="32"/>
          <w:szCs w:val="32"/>
        </w:rPr>
        <w:t>推进机制办公室通过调度牵头部门工作任务进度，对重点任务实行</w:t>
      </w:r>
      <w:r>
        <w:rPr>
          <w:rFonts w:hint="default" w:ascii="Times New Roman" w:hAnsi="Times New Roman" w:eastAsia="仿宋_GB2312" w:cs="Times New Roman"/>
          <w:sz w:val="32"/>
          <w:szCs w:val="32"/>
          <w:lang w:val="en-US" w:eastAsia="zh-CN"/>
        </w:rPr>
        <w:t>清单式</w:t>
      </w:r>
      <w:r>
        <w:rPr>
          <w:rFonts w:hint="default" w:ascii="Times New Roman" w:hAnsi="Times New Roman" w:eastAsia="仿宋_GB2312" w:cs="Times New Roman"/>
          <w:sz w:val="32"/>
          <w:szCs w:val="32"/>
        </w:rPr>
        <w:t>管理。对重点项目落实情况，适时开展督导指导，找准存在问题，及时查缺补漏，确保任务举措落地见效。各专班联络员要发挥好沟通协调作用，提升执行效率。</w:t>
      </w:r>
    </w:p>
    <w:p w14:paraId="0D69D82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b/>
          <w:bCs/>
          <w:sz w:val="32"/>
          <w:szCs w:val="32"/>
          <w:lang w:eastAsia="zh-CN"/>
        </w:rPr>
        <w:t>（三）加强督导考核。</w:t>
      </w:r>
      <w:r>
        <w:rPr>
          <w:rFonts w:hint="default" w:ascii="Times New Roman" w:hAnsi="Times New Roman" w:eastAsia="仿宋_GB2312" w:cs="Times New Roman"/>
          <w:sz w:val="32"/>
          <w:szCs w:val="32"/>
          <w:lang w:val="en-US" w:eastAsia="zh-CN"/>
        </w:rPr>
        <w:t>按照《</w:t>
      </w:r>
      <w:r>
        <w:rPr>
          <w:rFonts w:hint="default" w:ascii="Times New Roman" w:hAnsi="Times New Roman" w:eastAsia="仿宋_GB2312" w:cs="Times New Roman"/>
          <w:sz w:val="32"/>
          <w:szCs w:val="32"/>
          <w:highlight w:val="none"/>
        </w:rPr>
        <w:t>乌拉特后旗中央财政支持公立医院改革与高质量发展提升项目实施方案（2026</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2027年）</w:t>
      </w:r>
      <w:r>
        <w:rPr>
          <w:rFonts w:hint="default" w:ascii="Times New Roman" w:hAnsi="Times New Roman" w:eastAsia="仿宋_GB2312" w:cs="Times New Roman"/>
          <w:sz w:val="32"/>
          <w:szCs w:val="32"/>
          <w:lang w:val="en-US" w:eastAsia="zh-CN"/>
        </w:rPr>
        <w:t>》相关要求，</w:t>
      </w:r>
      <w:r>
        <w:rPr>
          <w:rFonts w:hint="default" w:ascii="Times New Roman" w:hAnsi="Times New Roman" w:eastAsia="仿宋_GB2312" w:cs="Times New Roman"/>
          <w:sz w:val="32"/>
          <w:szCs w:val="32"/>
        </w:rPr>
        <w:t>采取实地调研、查阅资料、座谈交流、个别访谈等方式开展专项监督检查</w:t>
      </w:r>
      <w:r>
        <w:rPr>
          <w:rFonts w:hint="default" w:ascii="Times New Roman" w:hAnsi="Times New Roman" w:eastAsia="仿宋_GB2312" w:cs="Times New Roman"/>
          <w:sz w:val="32"/>
          <w:szCs w:val="32"/>
          <w:lang w:val="en-US" w:eastAsia="zh-CN"/>
        </w:rPr>
        <w:t>与推进，并进行项目验收</w:t>
      </w:r>
      <w:r>
        <w:rPr>
          <w:rFonts w:hint="default" w:ascii="Times New Roman" w:hAnsi="Times New Roman" w:eastAsia="仿宋_GB2312" w:cs="Times New Roman"/>
          <w:sz w:val="32"/>
          <w:szCs w:val="32"/>
        </w:rPr>
        <w:t>。对贯彻落实不力、工作推进缓慢、问题突出的</w:t>
      </w:r>
      <w:r>
        <w:rPr>
          <w:rFonts w:hint="default" w:ascii="Times New Roman" w:hAnsi="Times New Roman" w:eastAsia="仿宋_GB2312" w:cs="Times New Roman"/>
          <w:sz w:val="32"/>
          <w:szCs w:val="32"/>
          <w:lang w:val="en-US" w:eastAsia="zh-CN"/>
        </w:rPr>
        <w:t>相关单位</w:t>
      </w:r>
      <w:r>
        <w:rPr>
          <w:rFonts w:hint="default" w:ascii="Times New Roman" w:hAnsi="Times New Roman" w:eastAsia="仿宋_GB2312" w:cs="Times New Roman"/>
          <w:sz w:val="32"/>
          <w:szCs w:val="32"/>
        </w:rPr>
        <w:t>和医疗机构及时约谈提醒、督促整改。</w:t>
      </w:r>
    </w:p>
    <w:p w14:paraId="32591D6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乌拉特后旗</w:t>
      </w:r>
      <w:r>
        <w:rPr>
          <w:rFonts w:hint="default" w:ascii="Times New Roman" w:hAnsi="Times New Roman" w:eastAsia="仿宋_GB2312" w:cs="Times New Roman"/>
          <w:sz w:val="32"/>
          <w:szCs w:val="32"/>
        </w:rPr>
        <w:t>中央财政支持公立医院改革与高质量发展</w:t>
      </w:r>
      <w:r>
        <w:rPr>
          <w:rFonts w:hint="default" w:ascii="Times New Roman" w:hAnsi="Times New Roman" w:eastAsia="仿宋_GB2312" w:cs="Times New Roman"/>
          <w:sz w:val="32"/>
          <w:szCs w:val="32"/>
          <w:lang w:eastAsia="zh-CN"/>
        </w:rPr>
        <w:t>提升项目</w:t>
      </w:r>
      <w:r>
        <w:rPr>
          <w:rFonts w:hint="default" w:ascii="Times New Roman" w:hAnsi="Times New Roman" w:eastAsia="仿宋_GB2312" w:cs="Times New Roman"/>
          <w:sz w:val="32"/>
          <w:szCs w:val="32"/>
        </w:rPr>
        <w:t>推进机制于项目结束</w:t>
      </w:r>
      <w:r>
        <w:rPr>
          <w:rFonts w:hint="default" w:ascii="Times New Roman" w:hAnsi="Times New Roman" w:eastAsia="仿宋_GB2312" w:cs="Times New Roman"/>
          <w:sz w:val="32"/>
          <w:szCs w:val="32"/>
          <w:lang w:val="en-US" w:eastAsia="zh-CN"/>
        </w:rPr>
        <w:t>且</w:t>
      </w:r>
      <w:r>
        <w:rPr>
          <w:rFonts w:hint="default" w:ascii="Times New Roman" w:hAnsi="Times New Roman" w:eastAsia="仿宋_GB2312" w:cs="Times New Roman"/>
          <w:sz w:val="32"/>
          <w:szCs w:val="32"/>
        </w:rPr>
        <w:t>验收完成后自行撤销。</w:t>
      </w:r>
    </w:p>
    <w:p w14:paraId="45293FCC">
      <w:pPr>
        <w:keepNext w:val="0"/>
        <w:keepLines w:val="0"/>
        <w:pageBreakBefore w:val="0"/>
        <w:widowControl w:val="0"/>
        <w:pBdr>
          <w:bottom w:val="none" w:color="auto" w:sz="0" w:space="0"/>
        </w:pBd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p>
    <w:p w14:paraId="5C957240">
      <w:pPr>
        <w:keepNext w:val="0"/>
        <w:keepLines w:val="0"/>
        <w:pageBreakBefore w:val="0"/>
        <w:widowControl w:val="0"/>
        <w:pBdr>
          <w:bottom w:val="none" w:color="auto" w:sz="0" w:space="0"/>
        </w:pBd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p>
    <w:p w14:paraId="187C6F6C">
      <w:pPr>
        <w:keepNext w:val="0"/>
        <w:keepLines w:val="0"/>
        <w:pageBreakBefore w:val="0"/>
        <w:widowControl w:val="0"/>
        <w:pBdr>
          <w:bottom w:val="none" w:color="auto" w:sz="0" w:space="0"/>
        </w:pBd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p>
    <w:p w14:paraId="749CB6A0">
      <w:pPr>
        <w:keepNext w:val="0"/>
        <w:keepLines w:val="0"/>
        <w:pageBreakBefore w:val="0"/>
        <w:widowControl w:val="0"/>
        <w:pBdr>
          <w:bottom w:val="none" w:color="auto" w:sz="0" w:space="0"/>
        </w:pBd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p>
    <w:p w14:paraId="330FBDCF">
      <w:pPr>
        <w:keepNext w:val="0"/>
        <w:keepLines w:val="0"/>
        <w:pageBreakBefore w:val="0"/>
        <w:widowControl w:val="0"/>
        <w:pBdr>
          <w:top w:val="single" w:color="auto" w:sz="4" w:space="0"/>
          <w:bottom w:val="single" w:color="auto" w:sz="4" w:space="0"/>
        </w:pBdr>
        <w:kinsoku/>
        <w:wordWrap/>
        <w:overflowPunct/>
        <w:topLinePunct w:val="0"/>
        <w:autoSpaceDE/>
        <w:autoSpaceDN/>
        <w:bidi w:val="0"/>
        <w:adjustRightInd/>
        <w:snapToGrid/>
        <w:spacing w:line="560" w:lineRule="exact"/>
        <w:ind w:firstLine="280" w:firstLineChars="1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28"/>
          <w:szCs w:val="28"/>
          <w:lang w:val="en-US" w:eastAsia="zh-CN"/>
        </w:rPr>
        <w:t>乌拉特后旗人民政府办公室                2026年8月31日印发</w:t>
      </w:r>
    </w:p>
    <w:sectPr>
      <w:pgSz w:w="11906" w:h="16838"/>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CESI黑体-GB2312">
    <w:altName w:val="黑体"/>
    <w:panose1 w:val="02000500000000000000"/>
    <w:charset w:val="86"/>
    <w:family w:val="auto"/>
    <w:pitch w:val="default"/>
    <w:sig w:usb0="00000000" w:usb1="00000000" w:usb2="00000012" w:usb3="00000000" w:csb0="0004000F" w:csb1="00000000"/>
  </w:font>
  <w:font w:name="楷体_GB2312">
    <w:panose1 w:val="02010609030101010101"/>
    <w:charset w:val="86"/>
    <w:family w:val="auto"/>
    <w:pitch w:val="default"/>
    <w:sig w:usb0="00000001" w:usb1="080E0000" w:usb2="00000000" w:usb3="00000000" w:csb0="00040000" w:csb1="00000000"/>
  </w:font>
  <w:font w:name="方正小标宋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DCBB87">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C72553">
                          <w:pPr>
                            <w:pStyle w:val="4"/>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AC72553">
                    <w:pPr>
                      <w:pStyle w:val="4"/>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120FAB">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8E83BD">
                          <w:pPr>
                            <w:pStyle w:val="4"/>
                            <w:rPr>
                              <w:rFonts w:hint="eastAsia" w:ascii="仿宋_GB2312" w:hAnsi="仿宋_GB2312" w:eastAsia="仿宋_GB2312" w:cs="仿宋_GB2312"/>
                              <w:sz w:val="32"/>
                              <w:szCs w:val="32"/>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- 13 -</w:t>
                          </w:r>
                          <w:r>
                            <w:rPr>
                              <w:rFonts w:hint="eastAsia" w:ascii="仿宋_GB2312" w:hAnsi="仿宋_GB2312" w:eastAsia="仿宋_GB2312" w:cs="仿宋_GB2312"/>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538E83BD">
                    <w:pPr>
                      <w:pStyle w:val="4"/>
                      <w:rPr>
                        <w:rFonts w:hint="eastAsia" w:ascii="仿宋_GB2312" w:hAnsi="仿宋_GB2312" w:eastAsia="仿宋_GB2312" w:cs="仿宋_GB2312"/>
                        <w:sz w:val="32"/>
                        <w:szCs w:val="32"/>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- 13 -</w:t>
                    </w:r>
                    <w:r>
                      <w:rPr>
                        <w:rFonts w:hint="eastAsia" w:ascii="仿宋_GB2312" w:hAnsi="仿宋_GB2312" w:eastAsia="仿宋_GB2312" w:cs="仿宋_GB2312"/>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A5E611E"/>
    <w:rsid w:val="27E22DFD"/>
    <w:rsid w:val="309A2B85"/>
    <w:rsid w:val="3C5179B9"/>
    <w:rsid w:val="3C7031C5"/>
    <w:rsid w:val="3EBD1AB4"/>
    <w:rsid w:val="3FAF3E75"/>
    <w:rsid w:val="5AAB4CAD"/>
    <w:rsid w:val="5CF60894"/>
    <w:rsid w:val="61037A48"/>
    <w:rsid w:val="7CFE2710"/>
    <w:rsid w:val="7FFD063A"/>
    <w:rsid w:val="9F1ABE10"/>
    <w:rsid w:val="DBEF1B15"/>
    <w:rsid w:val="EE7E8A62"/>
    <w:rsid w:val="EFF16AD5"/>
    <w:rsid w:val="FBFF6F61"/>
    <w:rsid w:val="FBFFD91C"/>
    <w:rsid w:val="FEC35C02"/>
    <w:rsid w:val="FF6CF889"/>
    <w:rsid w:val="FF9F2241"/>
    <w:rsid w:val="FFF34E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0"/>
    <w:pPr>
      <w:keepNext/>
      <w:keepLines/>
      <w:ind w:firstLine="480"/>
      <w:jc w:val="left"/>
      <w:outlineLvl w:val="1"/>
    </w:pPr>
    <w:rPr>
      <w:rFonts w:ascii="Arial" w:hAnsi="Arial" w:eastAsia="楷体"/>
      <w:b/>
    </w:rPr>
  </w:style>
  <w:style w:type="paragraph" w:styleId="3">
    <w:name w:val="heading 3"/>
    <w:basedOn w:val="1"/>
    <w:next w:val="1"/>
    <w:qFormat/>
    <w:uiPriority w:val="9"/>
    <w:pPr>
      <w:keepNext/>
      <w:keepLines/>
      <w:snapToGrid/>
      <w:spacing w:before="50" w:beforeLines="50" w:line="360" w:lineRule="auto"/>
      <w:ind w:firstLine="200"/>
      <w:outlineLvl w:val="2"/>
    </w:pPr>
    <w:rPr>
      <w:b/>
      <w:bCs/>
      <w:kern w:val="0"/>
      <w:sz w:val="20"/>
      <w:szCs w:val="32"/>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footer"/>
    <w:basedOn w:val="1"/>
    <w:unhideWhenUsed/>
    <w:qFormat/>
    <w:uiPriority w:val="99"/>
    <w:pPr>
      <w:tabs>
        <w:tab w:val="center" w:pos="4153"/>
        <w:tab w:val="right" w:pos="8306"/>
      </w:tabs>
      <w:snapToGrid w:val="0"/>
      <w:jc w:val="left"/>
    </w:pPr>
    <w:rPr>
      <w:kern w:val="0"/>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itle"/>
    <w:qFormat/>
    <w:uiPriority w:val="0"/>
    <w:pPr>
      <w:spacing w:line="720" w:lineRule="exact"/>
      <w:jc w:val="center"/>
      <w:outlineLvl w:val="9"/>
    </w:pPr>
    <w:rPr>
      <w:rFonts w:ascii="方正小标宋简体" w:hAnsi="方正小标宋简体" w:eastAsia="方正小标宋简体" w:cs="方正小标宋简体"/>
      <w:sz w:val="44"/>
      <w:szCs w:val="4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qFormat/>
    <w:uiPriority w:val="22"/>
    <w:rPr>
      <w:b/>
    </w:rPr>
  </w:style>
  <w:style w:type="paragraph" w:customStyle="1" w:styleId="11">
    <w:name w:val="正文-公1"/>
    <w:basedOn w:val="1"/>
    <w:qFormat/>
    <w:uiPriority w:val="0"/>
    <w:pPr>
      <w:ind w:firstLine="200" w:firstLineChars="200"/>
    </w:pPr>
    <w:rPr>
      <w:color w:val="000000"/>
    </w:rPr>
  </w:style>
  <w:style w:type="character" w:customStyle="1" w:styleId="12">
    <w:name w:val="font31"/>
    <w:basedOn w:val="9"/>
    <w:qFormat/>
    <w:uiPriority w:val="0"/>
    <w:rPr>
      <w:rFonts w:hint="eastAsia" w:ascii="仿宋_GB2312" w:eastAsia="仿宋_GB2312" w:cs="仿宋_GB2312"/>
      <w:b/>
      <w:bCs/>
      <w:color w:val="000000"/>
      <w:sz w:val="16"/>
      <w:szCs w:val="16"/>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abca8d9e-7265-4504-bc1b-b6f52a44de5c</errorID>
      <errorWord>慢病</errorWord>
      <group>L1_Word</group>
      <groupName>字词问题</groupName>
      <ability>L2_Typo</ability>
      <abilityName>字词错误</abilityName>
      <candidateList>
        <item>慢性病</item>
      </candidateList>
      <explain/>
      <paraID>319D9F34</paraID>
      <start>69</start>
      <end>72</end>
      <status>modified</status>
      <modifiedWord>慢性病</modifiedWord>
      <trackRevisions>false</trackRevisions>
    </reviewItem>
    <reviewItem>
      <errorID>631f92df-138b-4bef-8ace-bbe6c87455b7</errorID>
      <errorWord>慢病</errorWord>
      <group>L1_Word</group>
      <groupName>字词问题</groupName>
      <ability>L2_Typo</ability>
      <abilityName>字词错误</abilityName>
      <candidateList>
        <item>慢性病</item>
      </candidateList>
      <explain/>
      <paraID>4064ED3A</paraID>
      <start>78</start>
      <end>81</end>
      <status>modified</status>
      <modifiedWord>慢性病</modifiedWord>
      <trackRevisions>false</trackRevisions>
    </reviewItem>
    <reviewItem>
      <errorID>adbe0130-fe14-4d57-8bca-9ceeed6c6ab1</errorID>
      <errorWord>秀儿</errorWord>
      <group>L1_Official</group>
      <groupName>公文格式问题</groupName>
      <ability>L2_Official</ability>
      <abilityName>公文要素检查</abilityName>
      <candidateList/>
      <explain>公文中禁止出现该词语</explain>
      <paraID>1D5961F4</paraID>
      <start>132</start>
      <end>134</end>
      <status>unmodified</status>
      <modifiedWord/>
      <trackRevisions>false</trackRevisions>
    </reviewItem>
    <reviewItem>
      <errorID>185ae061-947e-469e-b6f1-8a5e1456b354</errorID>
      <errorWord>秀儿</errorWord>
      <group>L1_Official</group>
      <groupName>公文格式问题</groupName>
      <ability>L2_Official</ability>
      <abilityName>公文要素检查</abilityName>
      <candidateList/>
      <explain>公文中禁止出现该词语</explain>
      <paraID>1847A154</paraID>
      <start>135</start>
      <end>137</end>
      <status>unmodified</status>
      <modifiedWord/>
      <trackRevisions>false</trackRevisions>
    </reviewItem>
    <reviewItem>
      <errorID>d3e2d0cb-5298-48af-88f6-b0a47044d259</errorID>
      <errorWord>人才作为第一资源</errorWord>
      <group>L1_Political</group>
      <groupName>政治性问题</groupName>
      <ability>L2_Keyword</ability>
      <abilityName>固定表述</abilityName>
      <candidateList>
        <item>人才是第一资源</item>
      </candidateList>
      <explain>词汇“人才是第一资源”在特定场景下为固定表述形式，请确认此处的“人才作为第一资源”是否存在不当。</explain>
      <paraID>11DE93FE</paraID>
      <start>1</start>
      <end>9</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1442e3b-2052-4b93-b768-7534dc9390f5}">
  <ds:schemaRefs/>
</ds:datastoreItem>
</file>

<file path=docProps/app.xml><?xml version="1.0" encoding="utf-8"?>
<Properties xmlns="http://schemas.openxmlformats.org/officeDocument/2006/extended-properties" xmlns:vt="http://schemas.openxmlformats.org/officeDocument/2006/docPropsVTypes">
  <Template>Normal.dotm</Template>
  <Pages>28</Pages>
  <Words>3180</Words>
  <Characters>3260</Characters>
  <Lines>0</Lines>
  <Paragraphs>0</Paragraphs>
  <TotalTime>530</TotalTime>
  <ScaleCrop>false</ScaleCrop>
  <LinksUpToDate>false</LinksUpToDate>
  <CharactersWithSpaces>3260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2026-08-08T11:26:00Z</dcterms:created>
  <dc:creator>Administrator</dc:creator>
  <cp:lastModifiedBy>大数据中心</cp:lastModifiedBy>
  <cp:lastPrinted>2026-08-31T18:39:00Z</cp:lastPrinted>
  <dcterms:modified xsi:type="dcterms:W3CDTF">2026-09-15T01:55:55Z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eyJoZGlkIjoiYTliMjc1YjRlYmExNDMwZTllOWI5YTg0Y2E2MmZiNjciLCJ1c2VySWQiOiIxMzY4NTczMTEzIn0=</vt:lpwstr>
  </property>
  <property fmtid="{D5CDD505-2E9C-101B-9397-08002B2CF9AE}" pid="4" name="ICV">
    <vt:lpwstr>C88B7D3639438C9661D8946A346AD8C9_43</vt:lpwstr>
  </property>
</Properties>
</file>